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p>
      <w:pPr>
        <w:pStyle w:val="6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Style w:val="9"/>
          <w:rFonts w:ascii="宋体" w:hAnsi="宋体" w:eastAsia="宋体"/>
          <w:b w:val="0"/>
          <w:sz w:val="30"/>
          <w:szCs w:val="30"/>
        </w:rPr>
      </w:pPr>
      <w:r>
        <w:rPr>
          <w:rStyle w:val="9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Style w:val="9"/>
        </w:rPr>
      </w:pPr>
      <w:r>
        <w:rPr>
          <w:rStyle w:val="9"/>
          <w:rFonts w:hint="eastAsia" w:ascii="微软雅黑" w:hAnsi="微软雅黑" w:eastAsia="微软雅黑"/>
          <w:b w:val="0"/>
          <w:sz w:val="30"/>
          <w:szCs w:val="30"/>
        </w:rPr>
        <w:t>办公家具及相关服务采购项目报价表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（有效报价时间：自发出之日起至2019年3月28日16时止）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</w:p>
    <w:tbl>
      <w:tblPr>
        <w:tblStyle w:val="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785"/>
        <w:gridCol w:w="566"/>
        <w:gridCol w:w="566"/>
        <w:gridCol w:w="1413"/>
        <w:gridCol w:w="1416"/>
        <w:gridCol w:w="141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会议桌3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会议桌4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会议椅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96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把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隔断矮柜定制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18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组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档案柜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个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44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6338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63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6338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6338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6338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63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6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pStyle w:val="6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pStyle w:val="6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pStyle w:val="6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办公家具主要技术参数及要求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50"/>
        <w:gridCol w:w="2166"/>
        <w:gridCol w:w="1566"/>
        <w:gridCol w:w="457"/>
        <w:gridCol w:w="457"/>
        <w:gridCol w:w="7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物品名称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图片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型号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79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技术要求及参数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会议桌1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楷体" w:hAnsi="楷体" w:eastAsia="楷体" w:cs="仿宋"/>
                <w:sz w:val="24"/>
                <w:szCs w:val="24"/>
              </w:rPr>
              <w:drawing>
                <wp:inline distT="0" distB="0" distL="0" distR="0">
                  <wp:extent cx="1057275" cy="923925"/>
                  <wp:effectExtent l="19050" t="0" r="9525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3600*1200*760mm 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3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1、板材：采用E1级中密度纤维板，采用≥0.6mm厚天然木皮，纹路清晰，色泽美观，纵横一致，原材料甲醛释放量E1≤5.6mg/100g，符合室内装饰装修材料人造板及其制品中甲醛释放限量。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2、门与框架、门与门相邻表面、抽屉与门、抽屉与抽屉相邻两表面的距离偏差≤2.0mm。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3、木工要求：零部件的结合应严密、牢固，各种配件安装应严密平整端正牢固，结合处应无开裂或松动，启闭部件安装后应使用灵活。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4、漆膜：应无褪色、掉色、裂纹、鼓泡现象。 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5、配件：采用五金配件。  </w:t>
            </w:r>
          </w:p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6、油漆：选用面漆、底漆，经过九底三面油漆工序，纹理清晰，无发白，色泽均匀。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会议桌2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楷体" w:hAnsi="楷体" w:eastAsia="楷体" w:cs="仿宋"/>
                <w:sz w:val="24"/>
                <w:szCs w:val="24"/>
              </w:rPr>
              <w:drawing>
                <wp:inline distT="0" distB="0" distL="0" distR="0">
                  <wp:extent cx="1066800" cy="978535"/>
                  <wp:effectExtent l="1905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897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6000*1600*760mm 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1、板材：采用E1级中密度纤维板，采用≥0.6mm厚天然木皮，纹路清晰，色泽美观，纵横一致，原材料甲醛释放量E1≤5.6mg/100g，符合室内装饰装修材料人造板及其制品中甲醛释放限量。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2、门与框架、门与门相邻表面、抽屉与门、抽屉与抽屉相邻两表面的距离偏差≤2.0mm。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3、木工要求：零部件的结合应严密、牢固，各种配件安装应严密平整端正牢固，结合处应无开裂或松动，启闭部件安装后应使用灵活。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4、漆膜：应无褪色、掉色、裂纹、鼓泡现象。 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5、配件：采用五金配件。  </w:t>
            </w:r>
          </w:p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6、油漆：选用面漆、底漆，经过九底三面油漆工序，纹理清晰，无发白，色泽均匀。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会议桌3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楷体" w:hAnsi="楷体" w:eastAsia="楷体" w:cs="仿宋"/>
                <w:sz w:val="24"/>
                <w:szCs w:val="24"/>
              </w:rPr>
              <w:drawing>
                <wp:inline distT="0" distB="0" distL="0" distR="0">
                  <wp:extent cx="1114425" cy="1038225"/>
                  <wp:effectExtent l="19050" t="0" r="9525" b="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38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4800*1600*760mm 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1、板材：采用E1级中密度纤维板，采用≥0.6mm厚天然木皮，纹路清晰，色泽美观，纵横一致，原材料甲醛释放量E1≤5.6mg/100g，符合室内装饰装修材料人造板及其制品中甲醛释放限量。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2、门与框架、门与门相邻表面、抽屉与门、抽屉与抽屉相邻两表面的距离偏差≤2.0mm。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3、木工要求：零部件的结合应严密、牢固，各种配件安装应严密平整端正牢固，结合处应无开裂或松动，启闭部件安装后应使用灵活。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4、漆膜：应无褪色、掉色、裂纹、鼓泡现象。 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5、配件：采用五金配件。  </w:t>
            </w:r>
          </w:p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6、油漆：选用面漆、底漆，经过九底三面油漆工序，纹理清晰，无发白，色泽均匀。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会议桌4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楷体" w:hAnsi="楷体" w:eastAsia="楷体" w:cs="仿宋"/>
                <w:sz w:val="24"/>
                <w:szCs w:val="24"/>
              </w:rPr>
              <w:drawing>
                <wp:inline distT="0" distB="0" distL="0" distR="0">
                  <wp:extent cx="1162050" cy="1085850"/>
                  <wp:effectExtent l="19050" t="0" r="0" b="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858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5200*1600*760mm 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1、板材：采用E1级中密度纤维板，采用≥0.6mm厚天然木皮，纹路清晰，色泽美观，纵横一致，原材料甲醛释放量E1≤5.6mg/100g，符合室内装饰装修材料人造板及其制品中甲醛释放限量。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2、门与框架、门与门相邻表面、抽屉与门、抽屉与抽屉相邻两表面的距离偏差≤2.0mm。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3、木工要求：零部件的结合应严密、牢固，各种配件安装应严密平整端正牢固，结合处应无开裂或松动，启闭部件安装后应使用灵活。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4、漆膜：应无褪色、掉色、裂纹、鼓泡现象。 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5、配件：采用五金配件。  </w:t>
            </w:r>
          </w:p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6、油漆：选用面漆、底漆，经过九底三面油漆工序，纹理清晰，无发白，色泽均匀。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会议椅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楷体" w:hAnsi="楷体" w:eastAsia="楷体" w:cs="仿宋"/>
                <w:sz w:val="24"/>
                <w:szCs w:val="24"/>
              </w:rPr>
              <w:drawing>
                <wp:inline distT="0" distB="0" distL="0" distR="0">
                  <wp:extent cx="800100" cy="762000"/>
                  <wp:effectExtent l="19050" t="0" r="0" b="0"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34" cy="76755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45*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50*88mm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96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把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1、面材：采用韩皮,皮面光泽度好，质感柔和，回弹力高，透气性强，具有防虫、防滑、不褪色等特点；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2、海绵:采用高密度高回弹阻燃P.U发泡绵，软硬适中，回弹性强，坐感舒适；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3、脚架:采用实木脚架；</w:t>
            </w:r>
          </w:p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4、油漆：采用环保哑光聚脂漆饰面。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隔断矮柜定制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楷体" w:hAnsi="楷体" w:eastAsia="楷体" w:cs="仿宋"/>
                <w:sz w:val="24"/>
                <w:szCs w:val="24"/>
              </w:rPr>
              <w:drawing>
                <wp:inline distT="0" distB="0" distL="0" distR="0">
                  <wp:extent cx="1219200" cy="704850"/>
                  <wp:effectExtent l="19050" t="0" r="0" b="0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800*400*1000mm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18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组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1、板材：采用E1级中密度纤维板，采用≥0.6mm厚天然木皮，纹路清晰，色泽美观，纵横一致，原材料甲醛释放量E1≤5.6mg/100g，符合室内装饰装修材料人造板及其制品中甲醛释放限量。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2、门与框架、门与门相邻表面、抽屉与门、抽屉与抽屉相邻两表面的距离偏差≤2.0mm。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3、木工要求：零部件的结合应严密、牢固，各种配件安装应严密平整端正牢固，结合处应无开裂或松动，启闭部件安装后应使用灵活。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4、漆膜：应无褪色、掉色、裂纹、鼓泡现象。   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5、配件：采用五金配件。 </w:t>
            </w:r>
          </w:p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6、油漆：选用面漆、底漆，经过九底三面油漆工序，纹理清晰，无发白，色泽均匀。颜色可选。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档案柜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ascii="宋体" w:hAnsi="宋体"/>
              </w:rPr>
              <w:drawing>
                <wp:inline distT="0" distB="0" distL="0" distR="0">
                  <wp:extent cx="666750" cy="1125855"/>
                  <wp:effectExtent l="19050" t="0" r="0" b="0"/>
                  <wp:docPr id="21" name="图片 1" descr="wx_camera_151736904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 descr="wx_camera_1517369044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25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1960*850*400mm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20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个</w:t>
            </w:r>
          </w:p>
        </w:tc>
        <w:tc>
          <w:tcPr>
            <w:tcW w:w="792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亚光灰白色，柜体、隔板、门板、侧板均采用0.6mm厚武钢优质SPCC冷轧钢板，经久耐用、不易变形。12工位酸洗磷化永不褪色，柜身表面采用进口混合型热固性粉沫喷涂，耐高温，防静电，无刺激性气味，达环保标准，铝合金成品拉手，每门配置冲压标致框，锁具采用档案、文件连杆专用锁，每把锁头与钥匙编号相对应，防止通开，10年质保期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17A2A"/>
    <w:rsid w:val="00030950"/>
    <w:rsid w:val="00030B49"/>
    <w:rsid w:val="000453DB"/>
    <w:rsid w:val="00080A1F"/>
    <w:rsid w:val="000F5A98"/>
    <w:rsid w:val="001C06A7"/>
    <w:rsid w:val="001D30ED"/>
    <w:rsid w:val="001E0164"/>
    <w:rsid w:val="00224510"/>
    <w:rsid w:val="002D7822"/>
    <w:rsid w:val="003311B6"/>
    <w:rsid w:val="00364798"/>
    <w:rsid w:val="00373767"/>
    <w:rsid w:val="00384FAF"/>
    <w:rsid w:val="003A11ED"/>
    <w:rsid w:val="003B2BAF"/>
    <w:rsid w:val="003C7434"/>
    <w:rsid w:val="003F6309"/>
    <w:rsid w:val="00402610"/>
    <w:rsid w:val="0043169B"/>
    <w:rsid w:val="0043404B"/>
    <w:rsid w:val="00473422"/>
    <w:rsid w:val="004924AA"/>
    <w:rsid w:val="00494220"/>
    <w:rsid w:val="004C7CE3"/>
    <w:rsid w:val="00542E36"/>
    <w:rsid w:val="00545E92"/>
    <w:rsid w:val="005841AE"/>
    <w:rsid w:val="00584AB4"/>
    <w:rsid w:val="005978FF"/>
    <w:rsid w:val="005C16AF"/>
    <w:rsid w:val="006120F0"/>
    <w:rsid w:val="00642F5F"/>
    <w:rsid w:val="00660FA8"/>
    <w:rsid w:val="006A4969"/>
    <w:rsid w:val="006A711D"/>
    <w:rsid w:val="007625BA"/>
    <w:rsid w:val="00780DD7"/>
    <w:rsid w:val="007A5EBE"/>
    <w:rsid w:val="007C175D"/>
    <w:rsid w:val="00832E73"/>
    <w:rsid w:val="00884F42"/>
    <w:rsid w:val="00887312"/>
    <w:rsid w:val="008F28F4"/>
    <w:rsid w:val="00945D3B"/>
    <w:rsid w:val="00953ADC"/>
    <w:rsid w:val="00967679"/>
    <w:rsid w:val="00973BA8"/>
    <w:rsid w:val="0097655D"/>
    <w:rsid w:val="00A23191"/>
    <w:rsid w:val="00A450FC"/>
    <w:rsid w:val="00A531C6"/>
    <w:rsid w:val="00B423DE"/>
    <w:rsid w:val="00BA58ED"/>
    <w:rsid w:val="00BA67DC"/>
    <w:rsid w:val="00C62C3D"/>
    <w:rsid w:val="00D0209A"/>
    <w:rsid w:val="00D1358D"/>
    <w:rsid w:val="00D43755"/>
    <w:rsid w:val="00D505D0"/>
    <w:rsid w:val="00D526C0"/>
    <w:rsid w:val="00DF53A1"/>
    <w:rsid w:val="00E069F2"/>
    <w:rsid w:val="00E84103"/>
    <w:rsid w:val="00EB7687"/>
    <w:rsid w:val="00F10386"/>
    <w:rsid w:val="00F41708"/>
    <w:rsid w:val="00FC2625"/>
    <w:rsid w:val="525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5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E491F-85F7-4B54-8A89-323D00013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425</Words>
  <Characters>2427</Characters>
  <Lines>20</Lines>
  <Paragraphs>5</Paragraphs>
  <TotalTime>146</TotalTime>
  <ScaleCrop>false</ScaleCrop>
  <LinksUpToDate>false</LinksUpToDate>
  <CharactersWithSpaces>2847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2019-03-25T02:06:21Z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