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ind w:firstLine="405"/>
        <w:rPr>
          <w:rFonts w:ascii="楷体" w:hAnsi="楷体" w:eastAsia="楷体"/>
          <w:sz w:val="28"/>
          <w:szCs w:val="28"/>
        </w:rPr>
      </w:pPr>
      <w:bookmarkStart w:id="0" w:name="_GoBack"/>
      <w:bookmarkEnd w:id="0"/>
    </w:p>
    <w:p>
      <w:pPr>
        <w:jc w:val="left"/>
        <w:rPr>
          <w:rStyle w:val="7"/>
          <w:rFonts w:ascii="宋体" w:hAnsi="宋体" w:eastAsia="宋体"/>
          <w:b w:val="0"/>
          <w:sz w:val="30"/>
          <w:szCs w:val="30"/>
        </w:rPr>
      </w:pPr>
      <w:r>
        <w:rPr>
          <w:rStyle w:val="7"/>
          <w:rFonts w:hint="eastAsia" w:ascii="宋体" w:hAnsi="宋体" w:eastAsia="宋体"/>
          <w:b w:val="0"/>
          <w:sz w:val="30"/>
          <w:szCs w:val="30"/>
        </w:rPr>
        <w:t>附件：</w:t>
      </w:r>
    </w:p>
    <w:p>
      <w:pPr>
        <w:jc w:val="center"/>
        <w:rPr>
          <w:rFonts w:ascii="华文细黑" w:hAnsi="华文细黑" w:eastAsia="华文细黑" w:cs="仿宋"/>
          <w:b/>
          <w:sz w:val="30"/>
          <w:szCs w:val="30"/>
        </w:rPr>
      </w:pPr>
      <w:r>
        <w:rPr>
          <w:rStyle w:val="7"/>
          <w:rFonts w:hint="eastAsia" w:ascii="宋体" w:hAnsi="宋体" w:eastAsia="宋体"/>
          <w:sz w:val="30"/>
          <w:szCs w:val="30"/>
        </w:rPr>
        <w:t>信息化多媒体设备及相关服务</w:t>
      </w:r>
      <w:r>
        <w:rPr>
          <w:rFonts w:hint="eastAsia" w:ascii="华文细黑" w:hAnsi="华文细黑" w:eastAsia="华文细黑" w:cs="仿宋"/>
          <w:b/>
          <w:sz w:val="30"/>
          <w:szCs w:val="30"/>
        </w:rPr>
        <w:t>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（有效报价时间：自发出之日起至2018年12月28日16时止）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7"/>
        <w:gridCol w:w="708"/>
        <w:gridCol w:w="708"/>
        <w:gridCol w:w="1312"/>
        <w:gridCol w:w="1242"/>
        <w:gridCol w:w="1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534"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708"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708"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312"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34"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127" w:type="dxa"/>
            <w:vAlign w:val="center"/>
          </w:tcPr>
          <w:p>
            <w:pPr>
              <w:jc w:val="center"/>
              <w:rPr>
                <w:rFonts w:ascii="仿宋" w:hAnsi="仿宋" w:eastAsia="仿宋"/>
                <w:sz w:val="24"/>
                <w:szCs w:val="24"/>
              </w:rPr>
            </w:pPr>
            <w:r>
              <w:rPr>
                <w:rFonts w:hint="eastAsia" w:ascii="仿宋" w:hAnsi="仿宋" w:eastAsia="仿宋"/>
                <w:sz w:val="24"/>
                <w:szCs w:val="24"/>
              </w:rPr>
              <w:t>投影机</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60</w:t>
            </w:r>
            <w:r>
              <w:rPr>
                <w:rFonts w:ascii="仿宋" w:hAnsi="仿宋" w:eastAsia="仿宋"/>
                <w:sz w:val="24"/>
                <w:szCs w:val="24"/>
              </w:rPr>
              <w:t xml:space="preserve"> </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312"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661"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371"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371"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371"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371"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371"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371"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
    <w:p/>
    <w:p/>
    <w:p/>
    <w:p/>
    <w:p/>
    <w:p/>
    <w:p/>
    <w:p/>
    <w:p/>
    <w:p/>
    <w:p/>
    <w:p/>
    <w:p/>
    <w:p>
      <w:pPr>
        <w:jc w:val="left"/>
        <w:rPr>
          <w:rFonts w:asciiTheme="minorEastAsia" w:hAnsiTheme="minorEastAsia"/>
          <w:sz w:val="28"/>
          <w:szCs w:val="28"/>
        </w:rPr>
      </w:pPr>
      <w:r>
        <w:rPr>
          <w:rFonts w:hint="eastAsia" w:asciiTheme="minorEastAsia" w:hAnsiTheme="minorEastAsia"/>
          <w:sz w:val="28"/>
          <w:szCs w:val="28"/>
        </w:rPr>
        <w:t>附件</w:t>
      </w:r>
    </w:p>
    <w:p>
      <w:pPr>
        <w:jc w:val="center"/>
        <w:rPr>
          <w:rFonts w:ascii="黑体" w:hAnsi="黑体" w:eastAsia="黑体"/>
          <w:sz w:val="30"/>
          <w:szCs w:val="30"/>
        </w:rPr>
      </w:pPr>
      <w:r>
        <w:rPr>
          <w:rFonts w:hint="eastAsia" w:ascii="黑体" w:hAnsi="黑体" w:eastAsia="黑体"/>
          <w:sz w:val="30"/>
          <w:szCs w:val="30"/>
        </w:rPr>
        <w:t>投影机技术参数及要求</w:t>
      </w:r>
    </w:p>
    <w:p>
      <w:pPr>
        <w:jc w:val="center"/>
        <w:rPr>
          <w:rFonts w:ascii="黑体" w:hAnsi="黑体" w:eastAsia="黑体"/>
          <w:sz w:val="30"/>
          <w:szCs w:val="30"/>
        </w:rPr>
      </w:pPr>
    </w:p>
    <w:p>
      <w:pPr>
        <w:spacing w:line="360" w:lineRule="auto"/>
        <w:jc w:val="left"/>
        <w:rPr>
          <w:rFonts w:ascii="仿宋" w:hAnsi="仿宋" w:eastAsia="仿宋"/>
          <w:sz w:val="24"/>
          <w:szCs w:val="24"/>
        </w:rPr>
      </w:pPr>
      <w:r>
        <w:rPr>
          <w:rFonts w:hint="eastAsia" w:ascii="仿宋" w:hAnsi="仿宋" w:eastAsia="仿宋"/>
          <w:sz w:val="24"/>
          <w:szCs w:val="24"/>
        </w:rPr>
        <w:t>1.知名品牌。</w:t>
      </w:r>
    </w:p>
    <w:p>
      <w:pPr>
        <w:spacing w:line="360" w:lineRule="auto"/>
        <w:jc w:val="left"/>
        <w:rPr>
          <w:rFonts w:ascii="仿宋" w:hAnsi="仿宋" w:eastAsia="仿宋"/>
          <w:sz w:val="24"/>
          <w:szCs w:val="24"/>
        </w:rPr>
      </w:pPr>
      <w:r>
        <w:rPr>
          <w:rFonts w:hint="eastAsia" w:ascii="仿宋" w:hAnsi="仿宋" w:eastAsia="仿宋"/>
          <w:sz w:val="24"/>
          <w:szCs w:val="24"/>
        </w:rPr>
        <w:t>2.3LCD液晶技术；液晶板≥0.63 英寸。</w:t>
      </w:r>
    </w:p>
    <w:p>
      <w:pPr>
        <w:spacing w:line="360" w:lineRule="auto"/>
        <w:jc w:val="left"/>
        <w:rPr>
          <w:rFonts w:ascii="仿宋" w:hAnsi="仿宋" w:eastAsia="仿宋"/>
          <w:sz w:val="24"/>
          <w:szCs w:val="24"/>
        </w:rPr>
      </w:pPr>
      <w:r>
        <w:rPr>
          <w:rFonts w:hint="eastAsia" w:ascii="仿宋" w:hAnsi="仿宋" w:eastAsia="仿宋"/>
          <w:sz w:val="24"/>
          <w:szCs w:val="24"/>
        </w:rPr>
        <w:t>3.亮度≥4800流明(标准亮度模式），分辨率：1024*768 。</w:t>
      </w:r>
    </w:p>
    <w:p>
      <w:pPr>
        <w:spacing w:line="360" w:lineRule="auto"/>
        <w:jc w:val="left"/>
        <w:rPr>
          <w:rFonts w:ascii="仿宋" w:hAnsi="仿宋" w:eastAsia="仿宋"/>
          <w:sz w:val="24"/>
          <w:szCs w:val="24"/>
        </w:rPr>
      </w:pPr>
      <w:r>
        <w:rPr>
          <w:rFonts w:hint="eastAsia" w:ascii="仿宋" w:hAnsi="仿宋" w:eastAsia="仿宋"/>
          <w:sz w:val="24"/>
          <w:szCs w:val="24"/>
        </w:rPr>
        <w:t>4.变焦比1.2倍变焦，对比度≥23000：1。</w:t>
      </w:r>
    </w:p>
    <w:p>
      <w:pPr>
        <w:spacing w:line="360" w:lineRule="auto"/>
        <w:jc w:val="left"/>
        <w:rPr>
          <w:rFonts w:ascii="仿宋" w:hAnsi="仿宋" w:eastAsia="仿宋"/>
          <w:sz w:val="24"/>
          <w:szCs w:val="24"/>
        </w:rPr>
      </w:pPr>
      <w:r>
        <w:rPr>
          <w:rFonts w:hint="eastAsia" w:ascii="仿宋" w:hAnsi="仿宋" w:eastAsia="仿宋"/>
          <w:sz w:val="24"/>
          <w:szCs w:val="24"/>
        </w:rPr>
        <w:t>5.接口带两个独立PC输入一个独立PC输出，RS-232C 控制接口， 立体声迷你口一个，2个USB接口，2个HDMI数字高清接口。</w:t>
      </w:r>
    </w:p>
    <w:p>
      <w:pPr>
        <w:spacing w:line="360" w:lineRule="auto"/>
        <w:jc w:val="left"/>
        <w:rPr>
          <w:rFonts w:ascii="仿宋" w:hAnsi="仿宋" w:eastAsia="仿宋"/>
          <w:sz w:val="24"/>
          <w:szCs w:val="24"/>
        </w:rPr>
      </w:pPr>
      <w:r>
        <w:rPr>
          <w:rFonts w:hint="eastAsia" w:ascii="仿宋" w:hAnsi="仿宋" w:eastAsia="仿宋"/>
          <w:sz w:val="24"/>
          <w:szCs w:val="24"/>
        </w:rPr>
        <w:t>6.梯形校正：水平/垂直±30度。自动垂直梯形校正,水平梯形校正；快速四角调整。</w:t>
      </w:r>
    </w:p>
    <w:p>
      <w:pPr>
        <w:spacing w:line="360" w:lineRule="auto"/>
        <w:jc w:val="left"/>
        <w:rPr>
          <w:rFonts w:ascii="仿宋" w:hAnsi="仿宋" w:eastAsia="仿宋"/>
          <w:sz w:val="24"/>
          <w:szCs w:val="24"/>
        </w:rPr>
      </w:pPr>
      <w:r>
        <w:rPr>
          <w:rFonts w:hint="eastAsia" w:ascii="仿宋" w:hAnsi="仿宋" w:eastAsia="仿宋"/>
          <w:sz w:val="24"/>
          <w:szCs w:val="24"/>
        </w:rPr>
        <w:t>7.灯泡寿命10000 小时( 环保亮度模式 )。</w:t>
      </w:r>
    </w:p>
    <w:p>
      <w:pPr>
        <w:spacing w:line="360" w:lineRule="auto"/>
        <w:jc w:val="left"/>
        <w:rPr>
          <w:rFonts w:ascii="仿宋" w:hAnsi="仿宋" w:eastAsia="仿宋"/>
          <w:sz w:val="24"/>
          <w:szCs w:val="24"/>
        </w:rPr>
      </w:pPr>
      <w:r>
        <w:rPr>
          <w:rFonts w:hint="eastAsia" w:ascii="仿宋" w:hAnsi="仿宋" w:eastAsia="仿宋"/>
          <w:sz w:val="24"/>
          <w:szCs w:val="24"/>
        </w:rPr>
        <w:t>8.整机功率≤290W，灯泡功耗≤220W。</w:t>
      </w:r>
    </w:p>
    <w:p>
      <w:pPr>
        <w:spacing w:line="360" w:lineRule="auto"/>
        <w:jc w:val="left"/>
        <w:rPr>
          <w:rFonts w:ascii="仿宋" w:hAnsi="仿宋" w:eastAsia="仿宋"/>
          <w:sz w:val="24"/>
          <w:szCs w:val="24"/>
        </w:rPr>
      </w:pPr>
      <w:r>
        <w:rPr>
          <w:rFonts w:hint="eastAsia" w:ascii="仿宋" w:hAnsi="仿宋" w:eastAsia="仿宋"/>
          <w:sz w:val="24"/>
          <w:szCs w:val="24"/>
        </w:rPr>
        <w:t>9.自定义开机画面，安全防盗孔，Kensington锁，操作面板保护功能，密码保护功能。</w:t>
      </w:r>
    </w:p>
    <w:p>
      <w:pPr>
        <w:spacing w:line="360" w:lineRule="auto"/>
        <w:jc w:val="left"/>
        <w:rPr>
          <w:rFonts w:ascii="仿宋" w:hAnsi="仿宋" w:eastAsia="仿宋"/>
          <w:sz w:val="24"/>
          <w:szCs w:val="24"/>
        </w:rPr>
      </w:pPr>
      <w:r>
        <w:rPr>
          <w:rFonts w:hint="eastAsia" w:ascii="仿宋" w:hAnsi="仿宋" w:eastAsia="仿宋"/>
          <w:sz w:val="24"/>
          <w:szCs w:val="24"/>
        </w:rPr>
        <w:t>10.投影机拥有先进的网络投影和无线投影功能:通过网线连接到无线路由器或交换机可实现网段内的任意一台笔记本电脑台式机电脑投影。强大的投屏功能，可实现及点及投， 无明显卡顿现象，投屏可以根据自己使用要求，可设置全桌面投影，固定桌面画面大小投影，和任意桌面画面大小投影保证使用者隐私。强大画面分割功能：可全屏、可2分屏、还可四分屏投影。自带强大的矩阵功能：任何一台电脑画面可任意切换到需要的投影左上角、右上角、左下角、右下角、左边画面或右边画面均可实现。(中标后3日内现场测试功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17A2A"/>
    <w:rsid w:val="00030B49"/>
    <w:rsid w:val="000453DB"/>
    <w:rsid w:val="00080A1F"/>
    <w:rsid w:val="000F5A98"/>
    <w:rsid w:val="001603D4"/>
    <w:rsid w:val="001D30ED"/>
    <w:rsid w:val="001E0164"/>
    <w:rsid w:val="00224510"/>
    <w:rsid w:val="003311B6"/>
    <w:rsid w:val="00373767"/>
    <w:rsid w:val="00384FAF"/>
    <w:rsid w:val="003A11ED"/>
    <w:rsid w:val="003B2BAF"/>
    <w:rsid w:val="003C7434"/>
    <w:rsid w:val="003F6309"/>
    <w:rsid w:val="00402610"/>
    <w:rsid w:val="0043404B"/>
    <w:rsid w:val="00473422"/>
    <w:rsid w:val="004924AA"/>
    <w:rsid w:val="00494220"/>
    <w:rsid w:val="004C7CE3"/>
    <w:rsid w:val="00542E36"/>
    <w:rsid w:val="00545E92"/>
    <w:rsid w:val="00584AB4"/>
    <w:rsid w:val="005978FF"/>
    <w:rsid w:val="005C16AF"/>
    <w:rsid w:val="00642F5F"/>
    <w:rsid w:val="006A4969"/>
    <w:rsid w:val="007625BA"/>
    <w:rsid w:val="00780DD7"/>
    <w:rsid w:val="007C175D"/>
    <w:rsid w:val="00887312"/>
    <w:rsid w:val="008F28F4"/>
    <w:rsid w:val="00945D3B"/>
    <w:rsid w:val="00A450FC"/>
    <w:rsid w:val="00B423DE"/>
    <w:rsid w:val="00B60CE2"/>
    <w:rsid w:val="00BA67DC"/>
    <w:rsid w:val="00D0209A"/>
    <w:rsid w:val="00D1358D"/>
    <w:rsid w:val="00D43755"/>
    <w:rsid w:val="00D526C0"/>
    <w:rsid w:val="00DE51EA"/>
    <w:rsid w:val="00DF53A1"/>
    <w:rsid w:val="00E069F2"/>
    <w:rsid w:val="00E84103"/>
    <w:rsid w:val="00EB7687"/>
    <w:rsid w:val="7E79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214</Words>
  <Characters>1225</Characters>
  <Lines>10</Lines>
  <Paragraphs>2</Paragraphs>
  <TotalTime>85</TotalTime>
  <ScaleCrop>false</ScaleCrop>
  <LinksUpToDate>false</LinksUpToDate>
  <CharactersWithSpaces>1437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2018-12-25T02:11:31Z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