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8"/>
          <w:szCs w:val="28"/>
        </w:rPr>
      </w:pPr>
      <w:bookmarkStart w:id="12" w:name="_GoBack"/>
      <w:bookmarkEnd w:id="12"/>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8"/>
          <w:szCs w:val="28"/>
        </w:rPr>
      </w:pPr>
      <w:r>
        <w:rPr>
          <w:rFonts w:hint="eastAsia" w:ascii="仿宋" w:hAnsi="仿宋" w:eastAsia="仿宋" w:cs="仿宋"/>
          <w:color w:val="auto"/>
          <w:sz w:val="28"/>
          <w:szCs w:val="28"/>
        </w:rPr>
        <w:t>远程访问系统在线服务采购项目报价表</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（有效报价时间：自发出之日起至201</w:t>
      </w:r>
      <w:r>
        <w:rPr>
          <w:rFonts w:hint="default" w:ascii="仿宋" w:hAnsi="仿宋" w:eastAsia="仿宋" w:cs="仿宋"/>
          <w:color w:val="auto"/>
          <w:sz w:val="24"/>
          <w:lang w:val="en-US"/>
        </w:rPr>
        <w:t>8</w:t>
      </w:r>
      <w:r>
        <w:rPr>
          <w:rFonts w:hint="eastAsia" w:ascii="仿宋" w:hAnsi="仿宋" w:eastAsia="仿宋" w:cs="仿宋"/>
          <w:color w:val="auto"/>
          <w:sz w:val="24"/>
        </w:rPr>
        <w:t>年</w:t>
      </w:r>
      <w:r>
        <w:rPr>
          <w:rFonts w:hint="eastAsia" w:ascii="仿宋" w:hAnsi="仿宋" w:eastAsia="仿宋" w:cs="仿宋"/>
          <w:color w:val="auto"/>
          <w:sz w:val="24"/>
          <w:lang w:val="en-US" w:eastAsia="zh-CN"/>
        </w:rPr>
        <w:t>11</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日16时止）</w:t>
      </w:r>
    </w:p>
    <w:tbl>
      <w:tblPr>
        <w:tblStyle w:val="6"/>
        <w:tblW w:w="87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588"/>
        <w:gridCol w:w="2152"/>
        <w:gridCol w:w="573"/>
        <w:gridCol w:w="602"/>
        <w:gridCol w:w="869"/>
        <w:gridCol w:w="811"/>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5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序号</w:t>
            </w:r>
          </w:p>
        </w:tc>
        <w:tc>
          <w:tcPr>
            <w:tcW w:w="258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产品名称</w:t>
            </w:r>
          </w:p>
        </w:tc>
        <w:tc>
          <w:tcPr>
            <w:tcW w:w="215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品牌、规格、型号</w:t>
            </w:r>
          </w:p>
        </w:tc>
        <w:tc>
          <w:tcPr>
            <w:tcW w:w="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单位</w:t>
            </w:r>
          </w:p>
        </w:tc>
        <w:tc>
          <w:tcPr>
            <w:tcW w:w="60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数量</w:t>
            </w:r>
          </w:p>
        </w:tc>
        <w:tc>
          <w:tcPr>
            <w:tcW w:w="86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含税单价（元）</w:t>
            </w:r>
          </w:p>
        </w:tc>
        <w:tc>
          <w:tcPr>
            <w:tcW w:w="811"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含税总价（元）</w:t>
            </w:r>
          </w:p>
        </w:tc>
        <w:tc>
          <w:tcPr>
            <w:tcW w:w="54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258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续购2018-2019年度联图远程访问系统在线服务</w:t>
            </w:r>
          </w:p>
        </w:tc>
        <w:tc>
          <w:tcPr>
            <w:tcW w:w="215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见附件</w:t>
            </w:r>
          </w:p>
        </w:tc>
        <w:tc>
          <w:tcPr>
            <w:tcW w:w="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项</w:t>
            </w:r>
          </w:p>
        </w:tc>
        <w:tc>
          <w:tcPr>
            <w:tcW w:w="60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86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c>
          <w:tcPr>
            <w:tcW w:w="811"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c>
          <w:tcPr>
            <w:tcW w:w="54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合计（元）</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附加条件</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 xml:space="preserve">    交货日期</w:t>
            </w:r>
          </w:p>
        </w:tc>
        <w:tc>
          <w:tcPr>
            <w:tcW w:w="5552" w:type="dxa"/>
            <w:gridSpan w:val="6"/>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报价商家名称</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（盖章）</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（必须加盖单位公章，否则无效）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联系人及电话</w:t>
            </w:r>
          </w:p>
        </w:tc>
        <w:tc>
          <w:tcPr>
            <w:tcW w:w="5552" w:type="dxa"/>
            <w:gridSpan w:val="6"/>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报价时间</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年     月    日</w:t>
            </w: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outlineLvl w:val="9"/>
        <w:rPr>
          <w:rFonts w:hint="eastAsia" w:ascii="仿宋" w:hAnsi="仿宋" w:eastAsia="仿宋" w:cs="仿宋"/>
          <w:color w:val="auto"/>
          <w:sz w:val="28"/>
          <w:szCs w:val="28"/>
        </w:rPr>
        <w:sectPr>
          <w:footerReference r:id="rId3" w:type="default"/>
          <w:pgSz w:w="11906" w:h="16838"/>
          <w:pgMar w:top="1440" w:right="1800" w:bottom="1440" w:left="1800" w:header="851" w:footer="992" w:gutter="0"/>
          <w:cols w:space="720" w:num="1"/>
          <w:docGrid w:type="lines" w:linePitch="312" w:charSpace="0"/>
        </w:sectPr>
      </w:pPr>
    </w:p>
    <w:p>
      <w:pPr>
        <w:pStyle w:val="4"/>
        <w:jc w:val="center"/>
        <w:rPr>
          <w:rFonts w:hint="eastAsia"/>
          <w:color w:val="auto"/>
          <w:sz w:val="36"/>
          <w:szCs w:val="36"/>
          <w:lang w:eastAsia="zh-CN"/>
        </w:rPr>
      </w:pPr>
      <w:r>
        <w:rPr>
          <w:rFonts w:hint="eastAsia"/>
          <w:color w:val="auto"/>
          <w:sz w:val="36"/>
          <w:szCs w:val="36"/>
          <w:lang w:eastAsia="zh-CN"/>
        </w:rPr>
        <w:t>远程访问系统</w:t>
      </w:r>
      <w:r>
        <w:rPr>
          <w:rFonts w:hint="eastAsia"/>
          <w:color w:val="auto"/>
          <w:sz w:val="36"/>
          <w:szCs w:val="36"/>
        </w:rPr>
        <w:t>购买参数</w:t>
      </w:r>
      <w:r>
        <w:rPr>
          <w:rFonts w:hint="eastAsia"/>
          <w:color w:val="auto"/>
          <w:sz w:val="36"/>
          <w:szCs w:val="36"/>
          <w:lang w:eastAsia="zh-CN"/>
        </w:rPr>
        <w:t>要求</w:t>
      </w:r>
    </w:p>
    <w:p>
      <w:pPr>
        <w:numPr>
          <w:ilvl w:val="0"/>
          <w:numId w:val="1"/>
        </w:numPr>
        <w:spacing w:line="360" w:lineRule="auto"/>
        <w:rPr>
          <w:rFonts w:hint="eastAsia" w:ascii="宋体" w:hAnsi="宋体"/>
          <w:b/>
          <w:color w:val="auto"/>
          <w:sz w:val="24"/>
        </w:rPr>
      </w:pPr>
      <w:r>
        <w:rPr>
          <w:rFonts w:hint="eastAsia" w:ascii="宋体" w:hAnsi="宋体"/>
          <w:b/>
          <w:color w:val="auto"/>
          <w:sz w:val="24"/>
        </w:rPr>
        <w:t>远程访问系统功能要求</w:t>
      </w:r>
    </w:p>
    <w:p>
      <w:pPr>
        <w:spacing w:line="360" w:lineRule="auto"/>
        <w:rPr>
          <w:rFonts w:hint="eastAsia" w:ascii="宋体" w:hAnsi="宋体"/>
          <w:color w:val="auto"/>
          <w:sz w:val="24"/>
        </w:rPr>
      </w:pPr>
      <w:r>
        <w:rPr>
          <w:rFonts w:hint="eastAsia" w:ascii="宋体" w:hAnsi="宋体"/>
          <w:color w:val="auto"/>
          <w:sz w:val="24"/>
        </w:rPr>
        <w:t xml:space="preserve">   远程访问系统需要部署在我馆服务器，并且实现以下功能：</w:t>
      </w:r>
    </w:p>
    <w:p>
      <w:pPr>
        <w:spacing w:line="360" w:lineRule="auto"/>
        <w:ind w:firstLine="141" w:firstLineChars="59"/>
        <w:rPr>
          <w:rFonts w:hint="eastAsia" w:cs="黑体"/>
          <w:color w:val="auto"/>
          <w:sz w:val="24"/>
        </w:rPr>
      </w:pPr>
      <w:r>
        <w:rPr>
          <w:rFonts w:hint="eastAsia" w:cs="黑体"/>
          <w:color w:val="auto"/>
          <w:sz w:val="24"/>
        </w:rPr>
        <w:t xml:space="preserve">  1.用户在能上网的地方，就能正常访问我馆的所有数字资源</w:t>
      </w:r>
      <w:r>
        <w:rPr>
          <w:rFonts w:hint="eastAsia" w:cs="黑体"/>
          <w:color w:val="auto"/>
          <w:sz w:val="24"/>
          <w:lang w:eastAsia="zh-CN"/>
        </w:rPr>
        <w:t>。</w:t>
      </w:r>
    </w:p>
    <w:p>
      <w:pPr>
        <w:spacing w:line="360" w:lineRule="auto"/>
        <w:ind w:firstLine="141" w:firstLineChars="59"/>
        <w:rPr>
          <w:rFonts w:hint="eastAsia" w:cs="黑体"/>
          <w:color w:val="auto"/>
          <w:sz w:val="24"/>
        </w:rPr>
      </w:pPr>
      <w:r>
        <w:rPr>
          <w:rFonts w:hint="eastAsia" w:cs="黑体"/>
          <w:color w:val="auto"/>
          <w:sz w:val="24"/>
        </w:rPr>
        <w:t xml:space="preserve">  2.无需下载任何插件或客户端，用户只需登陆即可访问数字资源</w:t>
      </w:r>
      <w:r>
        <w:rPr>
          <w:rFonts w:hint="eastAsia" w:cs="黑体"/>
          <w:color w:val="auto"/>
          <w:sz w:val="24"/>
          <w:lang w:eastAsia="zh-CN"/>
        </w:rPr>
        <w:t>。</w:t>
      </w:r>
    </w:p>
    <w:p>
      <w:pPr>
        <w:spacing w:line="360" w:lineRule="auto"/>
        <w:ind w:firstLine="141" w:firstLineChars="59"/>
        <w:rPr>
          <w:rFonts w:hint="eastAsia" w:cs="黑体"/>
          <w:color w:val="auto"/>
          <w:sz w:val="24"/>
        </w:rPr>
      </w:pPr>
      <w:r>
        <w:rPr>
          <w:rFonts w:hint="eastAsia" w:cs="黑体"/>
          <w:color w:val="auto"/>
          <w:sz w:val="24"/>
        </w:rPr>
        <w:t xml:space="preserve">  3.支持图书馆所有数据库的本地镜像或远程包库的访问。</w:t>
      </w:r>
    </w:p>
    <w:p>
      <w:pPr>
        <w:spacing w:line="360" w:lineRule="auto"/>
        <w:ind w:firstLine="141" w:firstLineChars="59"/>
        <w:rPr>
          <w:rFonts w:hint="eastAsia" w:cs="黑体"/>
          <w:color w:val="auto"/>
          <w:sz w:val="24"/>
        </w:rPr>
      </w:pPr>
      <w:r>
        <w:rPr>
          <w:rFonts w:hint="eastAsia" w:cs="黑体"/>
          <w:color w:val="auto"/>
          <w:sz w:val="24"/>
        </w:rPr>
        <w:t xml:space="preserve">  4.用户管理方便、易用。</w:t>
      </w:r>
    </w:p>
    <w:p>
      <w:pPr>
        <w:spacing w:line="360" w:lineRule="auto"/>
        <w:rPr>
          <w:rFonts w:hint="eastAsia" w:ascii="宋体" w:hAnsi="宋体"/>
          <w:b/>
          <w:color w:val="auto"/>
          <w:sz w:val="24"/>
        </w:rPr>
      </w:pPr>
      <w:r>
        <w:rPr>
          <w:rFonts w:hint="eastAsia" w:ascii="宋体" w:hAnsi="宋体"/>
          <w:b/>
          <w:color w:val="auto"/>
          <w:sz w:val="24"/>
        </w:rPr>
        <w:t>二、远程访问系统技术要求：</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系统需基于浏览器，用户不需要下载任何插件，也不需要做任何参数配置，只需要输入用户名和密码在浏览器上登陆即可随时随地远程访问数据库。</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系统采用多网络通道访问机制，可实现多种网络接入方式，包括：教育网、网通、电信、联通等。</w:t>
      </w:r>
    </w:p>
    <w:p>
      <w:pPr>
        <w:numPr>
          <w:ilvl w:val="0"/>
          <w:numId w:val="2"/>
        </w:num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采用Sokect通信原理，B/S架构，分析网页头信息和URL重写技术，直接通过浏览器登陆访问，支持http,https,tcp，</w:t>
      </w:r>
      <w:r>
        <w:rPr>
          <w:rFonts w:hint="eastAsia" w:asciiTheme="minorEastAsia" w:hAnsiTheme="minorEastAsia" w:eastAsiaTheme="minorEastAsia" w:cstheme="minorEastAsia"/>
          <w:color w:val="auto"/>
          <w:kern w:val="0"/>
          <w:sz w:val="24"/>
          <w:szCs w:val="24"/>
        </w:rPr>
        <w:t>ftp,mms,rtmp，rtmps</w:t>
      </w:r>
      <w:r>
        <w:rPr>
          <w:rFonts w:hint="eastAsia" w:asciiTheme="minorEastAsia" w:hAnsiTheme="minorEastAsia" w:eastAsiaTheme="minorEastAsia" w:cstheme="minorEastAsia"/>
          <w:color w:val="auto"/>
          <w:sz w:val="24"/>
          <w:szCs w:val="24"/>
        </w:rPr>
        <w:t>等协议。</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系统服务器端支持Windows、LINUX等主流系统；客户端支持IE、谷歌、火狐等浏览器的所有版本。</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访问速度快，采用底层事件通知技术及多通道访问技术，降低通信时间，提高访问速度。</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系统安全性强。所有数据都通过学校服务器进行读取。不经过第三方服务器。保证用户数据安全。</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数据库配置简单，只需在服务器端做IP和端口的配置。</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系统部署不影响和改变原有网络结构，只需一个外网IP和端口，可实现单端口访问所有数据库。</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系统数据可实现自动备份和恢复，备份时间可自主设置。</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支持PC端、移动端。PC端支持Windows、Mac，移动端支持Android、iPad、iPhone等</w:t>
      </w:r>
      <w:r>
        <w:rPr>
          <w:rFonts w:hint="eastAsia" w:asciiTheme="minorEastAsia" w:hAnsiTheme="minorEastAsia" w:cstheme="minorEastAsia"/>
          <w:color w:val="auto"/>
          <w:sz w:val="24"/>
          <w:szCs w:val="24"/>
          <w:lang w:eastAsia="zh-CN"/>
        </w:rPr>
        <w:t>。</w:t>
      </w:r>
    </w:p>
    <w:p>
      <w:pPr>
        <w:numPr>
          <w:ilvl w:val="0"/>
          <w:numId w:val="2"/>
        </w:numPr>
        <w:spacing w:line="360" w:lineRule="auto"/>
        <w:rPr>
          <w:rFonts w:hint="eastAsia" w:asciiTheme="minorEastAsia" w:hAnsiTheme="minorEastAsia" w:eastAsiaTheme="minorEastAsia" w:cstheme="minorEastAsia"/>
          <w:color w:val="auto"/>
          <w:sz w:val="24"/>
          <w:szCs w:val="24"/>
        </w:rPr>
      </w:pPr>
      <w:bookmarkStart w:id="0" w:name="OLE_LINK22"/>
      <w:bookmarkStart w:id="1" w:name="OLE_LINK23"/>
      <w:bookmarkStart w:id="2" w:name="OLE_LINK21"/>
      <w:bookmarkStart w:id="3" w:name="OLE_LINK32"/>
      <w:bookmarkStart w:id="4" w:name="OLE_LINK33"/>
      <w:r>
        <w:rPr>
          <w:rFonts w:hint="eastAsia" w:asciiTheme="minorEastAsia" w:hAnsiTheme="minorEastAsia" w:eastAsiaTheme="minorEastAsia" w:cstheme="minorEastAsia"/>
          <w:color w:val="auto"/>
          <w:sz w:val="24"/>
          <w:szCs w:val="24"/>
        </w:rPr>
        <w:t>访问镜像、远程库均可，数量无上限</w:t>
      </w:r>
      <w:bookmarkEnd w:id="0"/>
      <w:bookmarkEnd w:id="1"/>
      <w:bookmarkEnd w:id="2"/>
      <w:bookmarkStart w:id="5" w:name="OLE_LINK24"/>
      <w:bookmarkStart w:id="6" w:name="OLE_LINK26"/>
      <w:bookmarkStart w:id="7" w:name="OLE_LINK25"/>
      <w:r>
        <w:rPr>
          <w:rFonts w:hint="eastAsia" w:asciiTheme="minorEastAsia" w:hAnsiTheme="minorEastAsia" w:eastAsiaTheme="minorEastAsia" w:cstheme="minorEastAsia"/>
          <w:color w:val="auto"/>
          <w:sz w:val="24"/>
          <w:szCs w:val="24"/>
        </w:rPr>
        <w:t>，无并发数限制。</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对资源下载可进行下载次数、下载时间间隔的控制，对恶意下载的列入黑名单，保证数据安全。</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系统可根据资源类型、使用状态、语种等进行分类设置并在前台自动形成聚类导航。</w:t>
      </w:r>
    </w:p>
    <w:bookmarkEnd w:id="3"/>
    <w:bookmarkEnd w:id="4"/>
    <w:bookmarkEnd w:id="5"/>
    <w:bookmarkEnd w:id="6"/>
    <w:bookmarkEnd w:id="7"/>
    <w:p>
      <w:pPr>
        <w:numPr>
          <w:ilvl w:val="0"/>
          <w:numId w:val="2"/>
        </w:numPr>
        <w:spacing w:line="360" w:lineRule="auto"/>
        <w:rPr>
          <w:rFonts w:hint="eastAsia" w:asciiTheme="minorEastAsia" w:hAnsiTheme="minorEastAsia" w:eastAsiaTheme="minorEastAsia" w:cstheme="minorEastAsia"/>
          <w:color w:val="auto"/>
          <w:sz w:val="24"/>
          <w:szCs w:val="24"/>
        </w:rPr>
      </w:pPr>
      <w:bookmarkStart w:id="8" w:name="OLE_LINK15"/>
      <w:bookmarkStart w:id="9" w:name="OLE_LINK14"/>
      <w:bookmarkStart w:id="10" w:name="OLE_LINK16"/>
      <w:bookmarkStart w:id="11" w:name="OLE_LINK17"/>
      <w:r>
        <w:rPr>
          <w:rFonts w:hint="eastAsia" w:asciiTheme="minorEastAsia" w:hAnsiTheme="minorEastAsia" w:eastAsiaTheme="minorEastAsia" w:cstheme="minorEastAsia"/>
          <w:color w:val="auto"/>
          <w:sz w:val="24"/>
          <w:szCs w:val="24"/>
        </w:rPr>
        <w:t>基于计算机机器语言开发并基于应用层实现，有有效的病毒防范基础，能保证系统和网络的安全。</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可按IP地址、时间、黑名单对用户访问权限进行管理。</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可防止个人非法登陆，对连续登陆三次出现密码错误的，将对该账号进行冻结，再开通该账号时需进行身份认证。</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读者个人中心有互动交流、FAQ问答、个人收藏、参考咨询、个人设置的功能。</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可记录读者访问日志，系统通过分析日志，可在后台查看具体在线用户、该用户在线时间和所属IP地址等信息。</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用户管理方面，可进行角色划分，针对不同的角色分配不同的权限，实现用户权限管理，对系统内用户可实现批量导入，可挂接第三方系统用户账号并同时具备相应的管理功能。</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用户认证方面，支持统一认证和单点登陆，系统能与本馆统一认证系统对接，用户只需输入统一认证账号即可登陆，并实现单点登录功能。</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可针对企业单位或分馆开通指定IP段访问，无需前台登陆。</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登陆账户方面，本系统账户即可批量导入，亦可第三方账户进行对接，且支持两种方式同时使用。</w:t>
      </w:r>
    </w:p>
    <w:bookmarkEnd w:id="8"/>
    <w:bookmarkEnd w:id="9"/>
    <w:bookmarkEnd w:id="10"/>
    <w:bookmarkEnd w:id="11"/>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统计功能包括：可查看用户具体访问了什么数据库，以及最后登陆时间和当天登录次数，登陆排行、在线时间和总计登陆次数，可统计数据库访问排行和系统总流量数，包括访问次数、受欢迎程度和排行，并有统计图表，可导出统计数据，且可实时更新统计数据。</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服务器管理方面，支持查看服务器基本配置信息以及服务器的CPU负载、内存占有率、CPU占有率、网络流量进行监控。</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系统负载均衡管理，通过多服务器分布式管理，减轻用户使用高峰时段服务器负载压力，保证系统稳定运行。</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数据库巡检功能，系统管理员可远程对数据库是否正常运行进行检查并及时处理。</w:t>
      </w:r>
    </w:p>
    <w:p>
      <w:pPr>
        <w:numPr>
          <w:ilvl w:val="0"/>
          <w:numId w:val="1"/>
        </w:numPr>
        <w:spacing w:line="360" w:lineRule="auto"/>
        <w:rPr>
          <w:rFonts w:hint="eastAsia" w:ascii="宋体" w:hAnsi="宋体"/>
          <w:b/>
          <w:color w:val="auto"/>
          <w:sz w:val="24"/>
        </w:rPr>
      </w:pPr>
      <w:r>
        <w:rPr>
          <w:rFonts w:hint="eastAsia" w:ascii="宋体" w:hAnsi="宋体"/>
          <w:b/>
          <w:color w:val="auto"/>
          <w:sz w:val="24"/>
        </w:rPr>
        <w:t>远程访问系统售后服务要求</w:t>
      </w:r>
    </w:p>
    <w:p>
      <w:pPr>
        <w:numPr>
          <w:ilvl w:val="0"/>
          <w:numId w:val="3"/>
        </w:numPr>
        <w:spacing w:before="156" w:beforeLines="50" w:after="156" w:afterLines="50" w:line="360" w:lineRule="auto"/>
        <w:rPr>
          <w:rFonts w:hint="eastAsia" w:ascii="宋体" w:hAnsi="宋体"/>
          <w:color w:val="auto"/>
          <w:sz w:val="24"/>
        </w:rPr>
      </w:pPr>
      <w:r>
        <w:rPr>
          <w:rFonts w:ascii="宋体" w:hAnsi="宋体"/>
          <w:color w:val="auto"/>
          <w:sz w:val="24"/>
        </w:rPr>
        <w:t>在规定期限内</w:t>
      </w:r>
      <w:r>
        <w:rPr>
          <w:rFonts w:hint="eastAsia" w:ascii="宋体" w:hAnsi="宋体"/>
          <w:color w:val="auto"/>
          <w:sz w:val="24"/>
        </w:rPr>
        <w:t>完成</w:t>
      </w:r>
      <w:r>
        <w:rPr>
          <w:rFonts w:ascii="宋体" w:hAnsi="宋体"/>
          <w:color w:val="auto"/>
          <w:sz w:val="24"/>
        </w:rPr>
        <w:t>对</w:t>
      </w:r>
      <w:r>
        <w:rPr>
          <w:rFonts w:hint="eastAsia" w:ascii="宋体" w:hAnsi="宋体"/>
          <w:color w:val="auto"/>
          <w:sz w:val="24"/>
        </w:rPr>
        <w:t>系统</w:t>
      </w:r>
      <w:r>
        <w:rPr>
          <w:rFonts w:ascii="宋体" w:hAnsi="宋体"/>
          <w:color w:val="auto"/>
          <w:sz w:val="24"/>
        </w:rPr>
        <w:t>的安装与调试，并保证数据库的良好运行。</w:t>
      </w:r>
    </w:p>
    <w:p>
      <w:pPr>
        <w:numPr>
          <w:ilvl w:val="0"/>
          <w:numId w:val="3"/>
        </w:numPr>
        <w:spacing w:before="156" w:beforeLines="50" w:after="156" w:afterLines="50" w:line="360" w:lineRule="auto"/>
        <w:rPr>
          <w:rFonts w:ascii="宋体" w:hAnsi="宋体"/>
          <w:color w:val="auto"/>
          <w:sz w:val="24"/>
        </w:rPr>
      </w:pPr>
      <w:r>
        <w:rPr>
          <w:rFonts w:hint="eastAsia" w:ascii="宋体" w:hAnsi="宋体"/>
          <w:color w:val="auto"/>
          <w:sz w:val="24"/>
        </w:rPr>
        <w:t>为我馆提供系统的培训服务。</w:t>
      </w:r>
    </w:p>
    <w:p>
      <w:pPr>
        <w:numPr>
          <w:ilvl w:val="0"/>
          <w:numId w:val="3"/>
        </w:numPr>
        <w:spacing w:before="156" w:beforeLines="50" w:after="156" w:afterLines="50" w:line="360" w:lineRule="auto"/>
        <w:rPr>
          <w:rFonts w:ascii="宋体" w:hAnsi="宋体"/>
          <w:color w:val="auto"/>
          <w:sz w:val="24"/>
        </w:rPr>
      </w:pPr>
      <w:r>
        <w:rPr>
          <w:rFonts w:hint="eastAsia" w:ascii="宋体" w:hAnsi="宋体"/>
          <w:color w:val="auto"/>
          <w:sz w:val="24"/>
        </w:rPr>
        <w:t>对系统报错、异常等进行快速处理服务。提供优质、快捷的现场或远程技术支持服务；对于数据错误或用户误操作的异常和报错，不需要改程序的，保证在2个工作日内解决问题，并给图书馆进行反馈；对于系统Bug的异常和报错，需要修改程序的，视工作量3-7个工作日内解决问题，并给图书馆进行反馈。</w:t>
      </w:r>
    </w:p>
    <w:p>
      <w:pPr>
        <w:numPr>
          <w:ilvl w:val="0"/>
          <w:numId w:val="3"/>
        </w:numPr>
        <w:spacing w:before="156" w:beforeLines="50" w:line="360" w:lineRule="auto"/>
        <w:rPr>
          <w:rFonts w:ascii="宋体" w:hAnsi="宋体"/>
          <w:color w:val="auto"/>
          <w:sz w:val="24"/>
        </w:rPr>
      </w:pPr>
      <w:r>
        <w:rPr>
          <w:rFonts w:hint="eastAsia" w:ascii="宋体" w:hAnsi="宋体"/>
          <w:color w:val="auto"/>
          <w:sz w:val="24"/>
        </w:rPr>
        <w:t>紧急服务，保证2小时内技术响应，通过电话无法解决问题时，公司须在24小时内派技术工程师到现场处理。</w:t>
      </w:r>
    </w:p>
    <w:p>
      <w:pPr>
        <w:numPr>
          <w:ilvl w:val="0"/>
          <w:numId w:val="3"/>
        </w:numPr>
        <w:spacing w:before="156" w:beforeLines="50" w:line="360" w:lineRule="auto"/>
        <w:rPr>
          <w:rFonts w:ascii="宋体" w:hAnsi="宋体"/>
          <w:color w:val="auto"/>
          <w:sz w:val="24"/>
        </w:rPr>
      </w:pPr>
      <w:r>
        <w:rPr>
          <w:rFonts w:hint="eastAsia" w:ascii="宋体" w:hAnsi="宋体"/>
          <w:color w:val="auto"/>
          <w:sz w:val="24"/>
        </w:rPr>
        <w:t>为确保数据库及软件系统的正常使用，公司须提供定期的客户使用状况回访，并提供7*24的热线技术支持服务，对于常规问题提供电话技术支持和指导。</w:t>
      </w:r>
    </w:p>
    <w:p>
      <w:pPr>
        <w:spacing w:line="360" w:lineRule="auto"/>
        <w:ind w:firstLine="566" w:firstLineChars="236"/>
        <w:rPr>
          <w:rFonts w:hint="eastAsia" w:ascii="宋体" w:hAnsi="宋体"/>
          <w:color w:val="auto"/>
          <w:sz w:val="24"/>
        </w:rPr>
      </w:pPr>
    </w:p>
    <w:p>
      <w:pPr>
        <w:jc w:val="center"/>
        <w:rPr>
          <w:color w:val="auto"/>
        </w:rPr>
      </w:pP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32"/>
          <w:szCs w:val="32"/>
          <w:lang w:val="en-US" w:eastAsia="zh-CN"/>
        </w:rPr>
      </w:pPr>
    </w:p>
    <w:p>
      <w:pPr>
        <w:rPr>
          <w:color w:val="auto"/>
        </w:rPr>
      </w:pPr>
    </w:p>
    <w:p>
      <w:pPr>
        <w:rPr>
          <w:color w:val="auto"/>
        </w:rPr>
      </w:pPr>
    </w:p>
    <w:p>
      <w:pPr>
        <w:rPr>
          <w:color w:val="auto"/>
        </w:rPr>
      </w:pPr>
    </w:p>
    <w:p>
      <w:pPr>
        <w:rPr>
          <w:color w:val="auto"/>
        </w:rPr>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7010" o:spid="_x0000_s4097" o:spt="136" type="#_x0000_t136" style="position:absolute;left:0pt;height:274pt;width:415.3pt;mso-position-horizontal:center;mso-position-horizontal-relative:margin;mso-position-vertical:center;mso-position-vertical-relative:margin;z-index:-251658240;mso-width-relative:page;mso-height-relative:page;" fillcolor="#C0C0C0" filled="t" stroked="f" coordsize="21600,21600" adj="10800">
          <v:path/>
          <v:fill on="t" opacity="19660f" focussize="0,0"/>
          <v:stroke on="f"/>
          <v:imagedata o:title=""/>
          <o:lock v:ext="edit" aspectratio="t"/>
          <v:textpath on="t" fitshape="t" fitpath="t" trim="t" xscale="f" string="附件"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F15"/>
    <w:multiLevelType w:val="multilevel"/>
    <w:tmpl w:val="19546F1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DF606B"/>
    <w:multiLevelType w:val="multilevel"/>
    <w:tmpl w:val="27DF606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16648AB"/>
    <w:multiLevelType w:val="multilevel"/>
    <w:tmpl w:val="316648AB"/>
    <w:lvl w:ilvl="0" w:tentative="0">
      <w:start w:val="1"/>
      <w:numFmt w:val="decimal"/>
      <w:lvlText w:val="%1、"/>
      <w:lvlJc w:val="left"/>
      <w:pPr>
        <w:tabs>
          <w:tab w:val="left" w:pos="690"/>
        </w:tabs>
        <w:ind w:left="690" w:hanging="360"/>
      </w:pPr>
      <w:rPr>
        <w:rFonts w:hint="default"/>
      </w:rPr>
    </w:lvl>
    <w:lvl w:ilvl="1" w:tentative="0">
      <w:start w:val="1"/>
      <w:numFmt w:val="lowerLetter"/>
      <w:lvlText w:val="%2)"/>
      <w:lvlJc w:val="left"/>
      <w:pPr>
        <w:tabs>
          <w:tab w:val="left" w:pos="1170"/>
        </w:tabs>
        <w:ind w:left="1170" w:hanging="420"/>
      </w:pPr>
    </w:lvl>
    <w:lvl w:ilvl="2" w:tentative="0">
      <w:start w:val="1"/>
      <w:numFmt w:val="lowerRoman"/>
      <w:lvlText w:val="%3."/>
      <w:lvlJc w:val="right"/>
      <w:pPr>
        <w:tabs>
          <w:tab w:val="left" w:pos="1590"/>
        </w:tabs>
        <w:ind w:left="1590" w:hanging="420"/>
      </w:p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12A2A"/>
    <w:rsid w:val="04C800D4"/>
    <w:rsid w:val="13F83817"/>
    <w:rsid w:val="22C64194"/>
    <w:rsid w:val="23C9039D"/>
    <w:rsid w:val="2511574D"/>
    <w:rsid w:val="34561E52"/>
    <w:rsid w:val="39DF6895"/>
    <w:rsid w:val="4413648D"/>
    <w:rsid w:val="65312A2A"/>
    <w:rsid w:val="654B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qFormat/>
    <w:uiPriority w:val="0"/>
    <w:pPr>
      <w:spacing w:before="240" w:after="60"/>
      <w:jc w:val="center"/>
      <w:outlineLvl w:val="0"/>
    </w:pPr>
    <w:rPr>
      <w:rFonts w:ascii="Arial" w:hAnsi="Arial"/>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2018-11-13T07:54:00Z</dcterms:created>
  <dc:creator>NTKO</dc:creator>
  <cp:lastModifiedBy>镜花缘</cp:lastModifiedBy>
  <dcterms:modified xsi:type="dcterms:W3CDTF">2018-11-16T03:18:14Z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