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8"/>
          <w:szCs w:val="28"/>
        </w:rPr>
      </w:pPr>
      <w:bookmarkStart w:id="0" w:name="_GoBack"/>
      <w:bookmarkEnd w:id="0"/>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8"/>
          <w:szCs w:val="28"/>
        </w:rPr>
      </w:pPr>
      <w:r>
        <w:rPr>
          <w:rFonts w:hint="eastAsia" w:ascii="仿宋" w:hAnsi="仿宋" w:eastAsia="仿宋" w:cs="仿宋"/>
          <w:color w:val="auto"/>
          <w:sz w:val="28"/>
          <w:szCs w:val="28"/>
        </w:rPr>
        <w:t>起点考试网在线服务采购项目报价表</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（有效报价时间：自发出之日起至201</w:t>
      </w:r>
      <w:r>
        <w:rPr>
          <w:rFonts w:hint="default" w:ascii="仿宋" w:hAnsi="仿宋" w:eastAsia="仿宋" w:cs="仿宋"/>
          <w:color w:val="auto"/>
          <w:sz w:val="24"/>
          <w:lang w:val="en-US"/>
        </w:rPr>
        <w:t>8</w:t>
      </w:r>
      <w:r>
        <w:rPr>
          <w:rFonts w:hint="eastAsia" w:ascii="仿宋" w:hAnsi="仿宋" w:eastAsia="仿宋" w:cs="仿宋"/>
          <w:color w:val="auto"/>
          <w:sz w:val="24"/>
        </w:rPr>
        <w:t>年</w:t>
      </w:r>
      <w:r>
        <w:rPr>
          <w:rFonts w:hint="eastAsia" w:ascii="仿宋" w:hAnsi="仿宋" w:eastAsia="仿宋" w:cs="仿宋"/>
          <w:color w:val="auto"/>
          <w:sz w:val="24"/>
          <w:lang w:val="en-US" w:eastAsia="zh-CN"/>
        </w:rPr>
        <w:t>11</w:t>
      </w:r>
      <w:r>
        <w:rPr>
          <w:rFonts w:hint="eastAsia" w:ascii="仿宋" w:hAnsi="仿宋" w:eastAsia="仿宋" w:cs="仿宋"/>
          <w:color w:val="auto"/>
          <w:sz w:val="24"/>
        </w:rPr>
        <w:t>月</w:t>
      </w:r>
      <w:r>
        <w:rPr>
          <w:rFonts w:hint="eastAsia" w:ascii="仿宋" w:hAnsi="仿宋" w:eastAsia="仿宋" w:cs="仿宋"/>
          <w:color w:val="auto"/>
          <w:sz w:val="24"/>
          <w:lang w:val="en-US" w:eastAsia="zh-CN"/>
        </w:rPr>
        <w:t>19</w:t>
      </w:r>
      <w:r>
        <w:rPr>
          <w:rFonts w:hint="eastAsia" w:ascii="仿宋" w:hAnsi="仿宋" w:eastAsia="仿宋" w:cs="仿宋"/>
          <w:color w:val="auto"/>
          <w:sz w:val="24"/>
        </w:rPr>
        <w:t>日16时止）</w:t>
      </w:r>
    </w:p>
    <w:tbl>
      <w:tblPr>
        <w:tblStyle w:val="5"/>
        <w:tblW w:w="870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588"/>
        <w:gridCol w:w="2152"/>
        <w:gridCol w:w="573"/>
        <w:gridCol w:w="602"/>
        <w:gridCol w:w="869"/>
        <w:gridCol w:w="811"/>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5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序号</w:t>
            </w:r>
          </w:p>
        </w:tc>
        <w:tc>
          <w:tcPr>
            <w:tcW w:w="258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产品名称</w:t>
            </w:r>
          </w:p>
        </w:tc>
        <w:tc>
          <w:tcPr>
            <w:tcW w:w="215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品牌、规格、型号</w:t>
            </w:r>
          </w:p>
        </w:tc>
        <w:tc>
          <w:tcPr>
            <w:tcW w:w="57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单位</w:t>
            </w:r>
          </w:p>
        </w:tc>
        <w:tc>
          <w:tcPr>
            <w:tcW w:w="60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数量</w:t>
            </w:r>
          </w:p>
        </w:tc>
        <w:tc>
          <w:tcPr>
            <w:tcW w:w="86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含税单价（元）</w:t>
            </w:r>
          </w:p>
        </w:tc>
        <w:tc>
          <w:tcPr>
            <w:tcW w:w="811"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含税总价（元）</w:t>
            </w:r>
          </w:p>
        </w:tc>
        <w:tc>
          <w:tcPr>
            <w:tcW w:w="54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5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1</w:t>
            </w:r>
          </w:p>
        </w:tc>
        <w:tc>
          <w:tcPr>
            <w:tcW w:w="258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续购2018-2019年度起点考试网在线服务</w:t>
            </w:r>
          </w:p>
        </w:tc>
        <w:tc>
          <w:tcPr>
            <w:tcW w:w="215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见附件</w:t>
            </w:r>
          </w:p>
        </w:tc>
        <w:tc>
          <w:tcPr>
            <w:tcW w:w="57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项</w:t>
            </w:r>
          </w:p>
        </w:tc>
        <w:tc>
          <w:tcPr>
            <w:tcW w:w="60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86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p>
        </w:tc>
        <w:tc>
          <w:tcPr>
            <w:tcW w:w="811"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p>
        </w:tc>
        <w:tc>
          <w:tcPr>
            <w:tcW w:w="54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3148"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合计（元）</w:t>
            </w:r>
          </w:p>
        </w:tc>
        <w:tc>
          <w:tcPr>
            <w:tcW w:w="5552" w:type="dxa"/>
            <w:gridSpan w:val="6"/>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仿宋" w:hAnsi="仿宋" w:eastAsia="仿宋" w:cs="仿宋"/>
                <w:color w:val="auto"/>
                <w:sz w:val="24"/>
              </w:rPr>
            </w:pPr>
            <w:r>
              <w:rPr>
                <w:rFonts w:hint="eastAsia" w:ascii="仿宋" w:hAnsi="仿宋" w:eastAsia="仿宋" w:cs="仿宋"/>
                <w:color w:val="auto"/>
                <w:sz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3148"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附加条件</w:t>
            </w:r>
          </w:p>
        </w:tc>
        <w:tc>
          <w:tcPr>
            <w:tcW w:w="5552" w:type="dxa"/>
            <w:gridSpan w:val="6"/>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（如有请明确表述）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3148"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仿宋" w:hAnsi="仿宋" w:eastAsia="仿宋" w:cs="仿宋"/>
                <w:color w:val="auto"/>
                <w:sz w:val="24"/>
              </w:rPr>
            </w:pPr>
            <w:r>
              <w:rPr>
                <w:rFonts w:hint="eastAsia" w:ascii="仿宋" w:hAnsi="仿宋" w:eastAsia="仿宋" w:cs="仿宋"/>
                <w:color w:val="auto"/>
                <w:sz w:val="24"/>
              </w:rPr>
              <w:t xml:space="preserve">    交货日期</w:t>
            </w:r>
          </w:p>
        </w:tc>
        <w:tc>
          <w:tcPr>
            <w:tcW w:w="5552" w:type="dxa"/>
            <w:gridSpan w:val="6"/>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仿宋" w:hAnsi="仿宋" w:eastAsia="仿宋" w:cs="仿宋"/>
                <w:color w:val="auto"/>
                <w:sz w:val="24"/>
              </w:rPr>
            </w:pPr>
            <w:r>
              <w:rPr>
                <w:rFonts w:hint="eastAsia" w:ascii="仿宋" w:hAnsi="仿宋" w:eastAsia="仿宋" w:cs="仿宋"/>
                <w:color w:val="auto"/>
                <w:sz w:val="24"/>
              </w:rPr>
              <w:t>自签订合同之日起XX天内交货完毕、安装调试结束并投入使用。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3148"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报价商家名称</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（盖章）</w:t>
            </w:r>
          </w:p>
        </w:tc>
        <w:tc>
          <w:tcPr>
            <w:tcW w:w="5552" w:type="dxa"/>
            <w:gridSpan w:val="6"/>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（必须加盖单位公章，否则无效）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3148"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联系人及电话</w:t>
            </w:r>
          </w:p>
        </w:tc>
        <w:tc>
          <w:tcPr>
            <w:tcW w:w="5552" w:type="dxa"/>
            <w:gridSpan w:val="6"/>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3148"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报价时间</w:t>
            </w:r>
          </w:p>
        </w:tc>
        <w:tc>
          <w:tcPr>
            <w:tcW w:w="5552" w:type="dxa"/>
            <w:gridSpan w:val="6"/>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年     月    日</w:t>
            </w:r>
          </w:p>
        </w:tc>
      </w:tr>
    </w:tbl>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outlineLvl w:val="9"/>
        <w:rPr>
          <w:rFonts w:hint="eastAsia" w:ascii="仿宋" w:hAnsi="仿宋" w:eastAsia="仿宋" w:cs="仿宋"/>
          <w:color w:val="auto"/>
          <w:sz w:val="28"/>
          <w:szCs w:val="28"/>
        </w:rPr>
        <w:sectPr>
          <w:footerReference r:id="rId3" w:type="default"/>
          <w:pgSz w:w="11906" w:h="16838"/>
          <w:pgMar w:top="1440" w:right="1800" w:bottom="1440" w:left="1800" w:header="851" w:footer="992" w:gutter="0"/>
          <w:cols w:space="720" w:num="1"/>
          <w:docGrid w:type="lines" w:linePitch="312" w:charSpace="0"/>
        </w:sectPr>
      </w:pPr>
    </w:p>
    <w:p>
      <w:pPr>
        <w:ind w:firstLine="560" w:firstLineChars="20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《起点考试网》购买参数要求</w:t>
      </w: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一、《起点考试网》数据库内容要求</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考试网必须包括考试试题、考试视频以及移动版三部分，考试试题和考试视频二者在统一平台上使用不得拆分，资源来源有正规版权可查。</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1、试题库内容要求：</w:t>
      </w: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包括语言类、计算机类、研究生类、公务员类、法律类、财经类、资格类等学生学习、就业有关的真题和模拟题等考试内容。总体数量不少于100000套试题。具体内容如下：</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（1）语言类专辑：语言类科目分为大学英语（三、四、六级）、公共英语、专业英语（四、八级）、职称英语、商务英语、学历英语、金融英语、出国英语、</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"http://www.qdexam.com:80/papersCategory!paperCategory?cid=357&amp;fid=37" \o "英语翻译"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英语翻译</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 xml:space="preserve">等。    </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（2）计算机类专辑：计算机类专辑包括计算机等级考试一级、二级、三级、四级、计算机水平考试初级、中级、高级</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"http://www.qdexam.com:80/papersCategory!paperCategory?cid=1993&amp;fid=277" \o "计算机职称类"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、计算机职称类</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"http://www.qdexam.com:80/papersCategory!paperCategory?cid=2033&amp;fid=277" \o "计算机认证类"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计算机认证类</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考试等。</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（3）研究生类专辑：研究生类专辑包括研究生入学考试、法律硕士联考、在职法律硕士联考、MBA联考、金融学硕士联考、在职攻读硕士联考、考博英语、工程硕士GCT、</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"http://www.qdexam.com:80/papersCategory!paperCategory?cid=1210&amp;fid=145" \o "同等学力申请硕士学位考试"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同等学力申请硕士学位考试</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、教育学专业基础综合考试、考研教育心理学等。</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（4）公务员类专辑：公务员专辑包括国家公务员考试、地方公务员考试等。</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（5）法律类专辑：法律类专辑包括司法考试卷一、卷二、卷三、卷四、企业法律顾问等。</w:t>
      </w:r>
    </w:p>
    <w:p>
      <w:pPr>
        <w:ind w:firstLine="700" w:firstLineChars="2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(6）财经类专辑：经济类专辑包括初级会计、中级会计、高级会计、注册会计师、注册税务师、注册资产评估师、经济师、银行业从业资格考试、证券业从业资格考试、保险从业考试等。</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（7）资格类专辑：教师资格</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"http://www.qdexam.com:80/papersCategory!paperCategory?cid=272&amp;fid=255" \o "电子商务考试"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、电子商务考试</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项目管理师、执业兽医资格考试、单证员、导游资格、人力资源考试、物业管理师、专升本考试、房地产经纪人资格考试、土地登记代理人资格考试、心理咨询师、社会工作师、质量专业技术人员职业资格考试、报关员考试、报检员考试、现代物流、外销员、秘书资格考试、自学考试、国际商务师资格考试、医药商品购销员等。</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2、视频库内容要求：</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包括语言类、计算机类、研究生类、公务员类、法律类、财经类、资格类以及就业指导类等，讲解课程必须紧密结合国家各职业资格和等级考试的最新考试大纲，分析考试考点的连续性内容，总体数量不少于10000个课时。具体内容要求如下：</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（1）语言类专辑：新概念英语、大学英语三级(A、B)、大学英语四级、大学英语六级、专业英语四级、专业英语八级、雅思英语、日语考试二级、日语考试四级等。</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计算机专辑：计算机二级Access、二级C++、二级C语言、二级JAVA、二级VB、二级VF、二级公共基础，计算机三级pc技术、三级数据库技术、三级网络技术、三级信息管理技术，计算机水平程序员、电子商务技术员、网络管理员、信息处理技术员、信息系统运行管理员等。</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（3）考研类专辑：考研英语、考研数学、考研政治等。</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（4）公务员专辑：申论、行政职业能力等。</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（5）法律类专辑：司法考试卷一、司法考试卷二、司法考试卷三、司法考试卷四，企业法律顾问民商与经济法律知识、企业法律顾问实务、企业管理知识、综合法律知识分册等。</w:t>
      </w:r>
    </w:p>
    <w:p>
      <w:pPr>
        <w:ind w:firstLine="700" w:firstLineChars="2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(6)财经类专辑：会计从业资格、初级会计、中级会计等。</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（7）资格类专辑：人力资源、社会工作、电子商务、报关员、秘书资格等。</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（8）就业指导专辑：就业指导规划、职业定位与核心能力、成功心理学等。</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二、《起点考试网》数据库技术要求</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1、功能要求：</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数据库的功能单元除正常使用功能外应该满足以下需求：</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（1）无并发用户数限制，不受访问流量、下载量和使用次数的限制。 </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（2）在线听课——课件必须采用先进的视频、PPT课件、目录索引三分屏显示方式，不需要安装插件和播放器，直接通过浏览器即可观看。所有视频都支持在线播放的功能。</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模拟自测——包括热门考试科目的历年全真试卷和模拟预测试卷，供读者进行考前模拟自测。强大的自主学习、模拟考试练习功能。测试结束之后，学生可以查看每道试题的正确答案和知识点讲解，并可将试卷保存到“我的题库”。</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模拟考场：通过模拟考场功能，被授权的学生可以通过计算机网络参加教师组织的各种随堂考试、正式考试、作业考试及知识竞赛等。考试结束后，系统将对所有考生的客观题试卷部分自动判分，主观题人工判分。并自动计算该次考试成绩、及格率、参考人数、名次等数据。教师可通过后台查看每个考生的具体试卷，掌握每个考生的学习情况。</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（5）专项练习——学生可以通过该功能对自己比较薄弱的某类题型进行有针对性的强化练习。选定某种类型考试的某类题型之后，系统将自动在海量题库中进行随机抽题。</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（6）随机组卷——要求提供5种组卷功能 a、普通组卷 b、换题组卷 c、分类组卷  d、手工组卷  e、错题组卷。通过多种随机组卷功能，老师或学生可以根据系统默认模板或自定义模板，在特定的题库中随机抽取试题组合成模拟试卷进行导出word打印或自我测试。</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自建资源——自建资源作为日常教学的有益补充，为读者和图书馆提供了一个开放性的网络平台。教师可根据教学任务和计划将部分教学课件、教案、课后作业、课程预习笔记等资料上传到该平台上，供学生点播下载。</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（8）试题库和视频库整体上要实现知识点的串联。试题库中的知识点做全面分类整合，让读者在学习时能够更具针对性，对薄弱点进行强化练习和系统的巩固学习，实现学与测的全面结合。</w:t>
      </w: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（9）移动版，支持各类Android, Ios手机、平板等终端，扫描二维码即可进行客户端安装，操作简单快捷，试题同步更新。</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2、系统要求：</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考试网系统需采用分布式架构设计；系统需采用三层B/S（浏览器/服务器模式）架构；系统需基于Web技术开发，所有用户不必另外安装客户端软件，只要使用浏览器就可以进行使用和管理的有关操作；系统需采用java程序编写支持Windows、linux、unix操作系统；支持sql、oracle数据库。</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三、《起点考试网》数据库售后服务要求</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1、培训：</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提供数据库使用培训以及配合学院读书月、宣传周推广宣传活动。</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2、文献数据使用服务响应：</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（1）软件远程维护系统做到软件问题最长24小时内解决。</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（2）软件镜像问题或其他需要上门服务的问题，数据库提供商应在3日能到现场进行处理和维护。</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3、售后服务： </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售后服务期内应提供软件免费升级、更新等服务。</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（1）网络包库与公司主网站同步更新实行周更新</w:t>
      </w:r>
      <w:r>
        <w:rPr>
          <w:rFonts w:hint="eastAsia" w:asciiTheme="minorEastAsia" w:hAnsiTheme="minorEastAsia" w:eastAsiaTheme="minorEastAsia" w:cstheme="minorEastAsia"/>
          <w:color w:val="auto"/>
          <w:sz w:val="28"/>
          <w:szCs w:val="28"/>
          <w:lang w:val="en-US" w:eastAsia="zh-CN"/>
        </w:rPr>
        <w:t>。</w:t>
      </w:r>
    </w:p>
    <w:p>
      <w:pPr>
        <w:ind w:firstLine="560" w:firstLineChars="200"/>
        <w:rPr>
          <w:rFonts w:hint="eastAsia"/>
          <w:color w:val="auto"/>
          <w:sz w:val="24"/>
        </w:rPr>
      </w:pPr>
      <w:r>
        <w:rPr>
          <w:rFonts w:hint="eastAsia" w:asciiTheme="minorEastAsia" w:hAnsiTheme="minorEastAsia" w:eastAsiaTheme="minorEastAsia" w:cstheme="minorEastAsia"/>
          <w:color w:val="auto"/>
          <w:sz w:val="28"/>
          <w:szCs w:val="28"/>
        </w:rPr>
        <w:t>（2）本地镜像数据更新按季更新。</w:t>
      </w:r>
      <w:r>
        <w:rPr>
          <w:rFonts w:hint="eastAsia"/>
          <w:color w:val="auto"/>
          <w:sz w:val="24"/>
        </w:rPr>
        <w:t xml:space="preserve">              </w:t>
      </w:r>
    </w:p>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仿宋" w:hAnsi="仿宋" w:eastAsia="仿宋" w:cs="仿宋"/>
          <w:color w:val="auto"/>
          <w:sz w:val="32"/>
          <w:szCs w:val="32"/>
          <w:lang w:val="en-US" w:eastAsia="zh-CN"/>
        </w:rPr>
      </w:pPr>
    </w:p>
    <w:p>
      <w:pPr>
        <w:rPr>
          <w:color w:val="auto"/>
        </w:rPr>
      </w:pPr>
    </w:p>
    <w:p>
      <w:pPr>
        <w:rPr>
          <w:color w:val="auto"/>
        </w:rPr>
      </w:pPr>
    </w:p>
    <w:p>
      <w:pPr>
        <w:rPr>
          <w:color w:val="auto"/>
        </w:rPr>
      </w:pPr>
    </w:p>
    <w:p>
      <w:pPr>
        <w:rPr>
          <w:color w:val="auto"/>
        </w:rPr>
      </w:pPr>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1"/>
    <w:family w:val="swiss"/>
    <w:pitch w:val="default"/>
    <w:sig w:usb0="61007BDF" w:usb1="80000000" w:usb2="00000008" w:usb3="00000000" w:csb0="200101FF" w:csb1="2028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17010" o:spid="_x0000_s4097" o:spt="136" type="#_x0000_t136" style="position:absolute;left:0pt;height:274pt;width:415.3pt;mso-position-horizontal:center;mso-position-horizontal-relative:margin;mso-position-vertical:center;mso-position-vertical-relative:margin;z-index:-251658240;mso-width-relative:page;mso-height-relative:page;" fillcolor="#C0C0C0" filled="t" stroked="f" coordsize="21600,21600" adj="10800">
          <v:path/>
          <v:fill on="t" opacity="19660f" focussize="0,0"/>
          <v:stroke on="f"/>
          <v:imagedata o:title=""/>
          <o:lock v:ext="edit" aspectratio="t"/>
          <v:textpath on="t" fitshape="t" fitpath="t" trim="t" xscale="f" string="附件"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12A2A"/>
    <w:rsid w:val="04C800D4"/>
    <w:rsid w:val="085F5B38"/>
    <w:rsid w:val="20A170AE"/>
    <w:rsid w:val="34561E52"/>
    <w:rsid w:val="3D91561B"/>
    <w:rsid w:val="3F7F0111"/>
    <w:rsid w:val="5DD1471D"/>
    <w:rsid w:val="61AA6666"/>
    <w:rsid w:val="65312A2A"/>
    <w:rsid w:val="7E531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2018-11-13T07:54:00Z</dcterms:created>
  <dc:creator>NTKO</dc:creator>
  <cp:lastModifiedBy>镜花缘</cp:lastModifiedBy>
  <dcterms:modified xsi:type="dcterms:W3CDTF">2018-11-16T03:11:34Z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