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ascii="宋体" w:hAnsi="宋体" w:eastAsia="宋体"/>
          <w:b w:val="0"/>
          <w:sz w:val="30"/>
          <w:szCs w:val="30"/>
        </w:rPr>
      </w:pPr>
      <w:bookmarkStart w:id="0" w:name="_GoBack"/>
      <w:bookmarkEnd w:id="0"/>
      <w:r>
        <w:rPr>
          <w:rStyle w:val="7"/>
          <w:rFonts w:hint="eastAsia" w:ascii="宋体" w:hAnsi="宋体" w:eastAsia="宋体"/>
          <w:b w:val="0"/>
          <w:sz w:val="30"/>
          <w:szCs w:val="30"/>
        </w:rPr>
        <w:t>附件：</w:t>
      </w:r>
    </w:p>
    <w:p>
      <w:pPr>
        <w:jc w:val="center"/>
        <w:rPr>
          <w:rFonts w:ascii="华文细黑" w:hAnsi="华文细黑" w:eastAsia="华文细黑" w:cs="仿宋"/>
          <w:b/>
          <w:sz w:val="30"/>
          <w:szCs w:val="30"/>
        </w:rPr>
      </w:pPr>
      <w:r>
        <w:rPr>
          <w:rFonts w:hint="eastAsia" w:ascii="华文细黑" w:hAnsi="华文细黑" w:eastAsia="华文细黑" w:cs="仿宋"/>
          <w:b/>
          <w:sz w:val="30"/>
          <w:szCs w:val="30"/>
        </w:rPr>
        <w:t>生物机能实验系统及设备采购项目报价表</w:t>
      </w:r>
    </w:p>
    <w:p>
      <w:pPr>
        <w:jc w:val="center"/>
        <w:rPr>
          <w:rFonts w:ascii="楷体" w:hAnsi="楷体" w:eastAsia="楷体" w:cs="仿宋"/>
          <w:b/>
          <w:sz w:val="30"/>
          <w:szCs w:val="30"/>
        </w:rPr>
      </w:pPr>
      <w:r>
        <w:rPr>
          <w:rFonts w:hint="eastAsia" w:ascii="楷体" w:hAnsi="楷体" w:eastAsia="楷体" w:cs="仿宋_GB2312"/>
          <w:sz w:val="24"/>
          <w:szCs w:val="24"/>
        </w:rPr>
        <w:t>（有效报价时间：自发出之日起至2017年11月30日16时止）</w:t>
      </w: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920"/>
        <w:gridCol w:w="853"/>
        <w:gridCol w:w="568"/>
        <w:gridCol w:w="1593"/>
        <w:gridCol w:w="1242"/>
        <w:gridCol w:w="127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55" w:type="dxa"/>
            <w:vAlign w:val="center"/>
          </w:tcPr>
          <w:p>
            <w:pPr>
              <w:jc w:val="center"/>
              <w:rPr>
                <w:rFonts w:ascii="楷体" w:hAnsi="楷体" w:eastAsia="楷体" w:cs="仿宋"/>
                <w:sz w:val="24"/>
                <w:szCs w:val="24"/>
              </w:rPr>
            </w:pPr>
            <w:r>
              <w:rPr>
                <w:rFonts w:hint="eastAsia" w:ascii="楷体" w:hAnsi="楷体" w:eastAsia="楷体" w:cs="仿宋"/>
                <w:sz w:val="24"/>
                <w:szCs w:val="24"/>
              </w:rPr>
              <w:t>序号</w:t>
            </w:r>
          </w:p>
        </w:tc>
        <w:tc>
          <w:tcPr>
            <w:tcW w:w="1920" w:type="dxa"/>
            <w:vAlign w:val="center"/>
          </w:tcPr>
          <w:p>
            <w:pPr>
              <w:jc w:val="center"/>
              <w:rPr>
                <w:rFonts w:ascii="楷体" w:hAnsi="楷体" w:eastAsia="楷体" w:cs="仿宋"/>
                <w:sz w:val="24"/>
                <w:szCs w:val="24"/>
              </w:rPr>
            </w:pPr>
            <w:r>
              <w:rPr>
                <w:rFonts w:hint="eastAsia" w:ascii="楷体" w:hAnsi="楷体" w:eastAsia="楷体" w:cs="仿宋"/>
                <w:sz w:val="24"/>
                <w:szCs w:val="24"/>
              </w:rPr>
              <w:t>品名</w:t>
            </w:r>
          </w:p>
        </w:tc>
        <w:tc>
          <w:tcPr>
            <w:tcW w:w="853" w:type="dxa"/>
            <w:vAlign w:val="center"/>
          </w:tcPr>
          <w:p>
            <w:pPr>
              <w:jc w:val="center"/>
              <w:rPr>
                <w:rFonts w:ascii="楷体" w:hAnsi="楷体" w:eastAsia="楷体" w:cs="仿宋"/>
                <w:sz w:val="24"/>
                <w:szCs w:val="24"/>
              </w:rPr>
            </w:pPr>
            <w:r>
              <w:rPr>
                <w:rFonts w:hint="eastAsia" w:ascii="楷体" w:hAnsi="楷体" w:eastAsia="楷体" w:cs="仿宋"/>
                <w:sz w:val="24"/>
                <w:szCs w:val="24"/>
              </w:rPr>
              <w:t>数量</w:t>
            </w:r>
          </w:p>
        </w:tc>
        <w:tc>
          <w:tcPr>
            <w:tcW w:w="568" w:type="dxa"/>
            <w:vAlign w:val="center"/>
          </w:tcPr>
          <w:p>
            <w:pPr>
              <w:jc w:val="center"/>
              <w:rPr>
                <w:rFonts w:ascii="楷体" w:hAnsi="楷体" w:eastAsia="楷体" w:cs="仿宋"/>
                <w:sz w:val="24"/>
                <w:szCs w:val="24"/>
              </w:rPr>
            </w:pPr>
            <w:r>
              <w:rPr>
                <w:rFonts w:hint="eastAsia" w:ascii="楷体" w:hAnsi="楷体" w:eastAsia="楷体" w:cs="仿宋"/>
                <w:sz w:val="24"/>
                <w:szCs w:val="24"/>
              </w:rPr>
              <w:t>单位</w:t>
            </w:r>
          </w:p>
        </w:tc>
        <w:tc>
          <w:tcPr>
            <w:tcW w:w="1593" w:type="dxa"/>
            <w:vAlign w:val="center"/>
          </w:tcPr>
          <w:p>
            <w:pPr>
              <w:jc w:val="center"/>
              <w:rPr>
                <w:rFonts w:ascii="楷体" w:hAnsi="楷体" w:eastAsia="楷体" w:cs="仿宋"/>
                <w:sz w:val="24"/>
                <w:szCs w:val="24"/>
              </w:rPr>
            </w:pPr>
            <w:r>
              <w:rPr>
                <w:rFonts w:hint="eastAsia" w:ascii="楷体" w:hAnsi="楷体" w:eastAsia="楷体" w:cs="仿宋"/>
                <w:sz w:val="24"/>
                <w:szCs w:val="24"/>
              </w:rPr>
              <w:t>品牌规格</w:t>
            </w:r>
          </w:p>
          <w:p>
            <w:pPr>
              <w:jc w:val="center"/>
              <w:rPr>
                <w:rFonts w:ascii="楷体" w:hAnsi="楷体" w:eastAsia="楷体" w:cs="仿宋"/>
                <w:sz w:val="24"/>
                <w:szCs w:val="24"/>
              </w:rPr>
            </w:pPr>
            <w:r>
              <w:rPr>
                <w:rFonts w:hint="eastAsia" w:ascii="楷体" w:hAnsi="楷体" w:eastAsia="楷体" w:cs="仿宋"/>
                <w:sz w:val="24"/>
                <w:szCs w:val="24"/>
              </w:rPr>
              <w:t>型号</w:t>
            </w:r>
          </w:p>
        </w:tc>
        <w:tc>
          <w:tcPr>
            <w:tcW w:w="1242" w:type="dxa"/>
            <w:vAlign w:val="center"/>
          </w:tcPr>
          <w:p>
            <w:pPr>
              <w:jc w:val="center"/>
              <w:rPr>
                <w:rFonts w:ascii="楷体" w:hAnsi="楷体" w:eastAsia="楷体" w:cs="仿宋"/>
                <w:sz w:val="24"/>
                <w:szCs w:val="24"/>
              </w:rPr>
            </w:pPr>
            <w:r>
              <w:rPr>
                <w:rFonts w:hint="eastAsia" w:ascii="楷体" w:hAnsi="楷体" w:eastAsia="楷体" w:cs="仿宋"/>
                <w:sz w:val="24"/>
                <w:szCs w:val="24"/>
              </w:rPr>
              <w:t>含税单价（元）</w:t>
            </w:r>
          </w:p>
        </w:tc>
        <w:tc>
          <w:tcPr>
            <w:tcW w:w="1274" w:type="dxa"/>
            <w:vAlign w:val="center"/>
          </w:tcPr>
          <w:p>
            <w:pPr>
              <w:jc w:val="center"/>
              <w:rPr>
                <w:rFonts w:ascii="楷体" w:hAnsi="楷体" w:eastAsia="楷体" w:cs="仿宋"/>
                <w:sz w:val="24"/>
                <w:szCs w:val="24"/>
              </w:rPr>
            </w:pPr>
            <w:r>
              <w:rPr>
                <w:rFonts w:hint="eastAsia" w:ascii="楷体" w:hAnsi="楷体" w:eastAsia="楷体" w:cs="仿宋"/>
                <w:sz w:val="24"/>
                <w:szCs w:val="24"/>
              </w:rPr>
              <w:t>含税总价（元）</w:t>
            </w:r>
          </w:p>
        </w:tc>
        <w:tc>
          <w:tcPr>
            <w:tcW w:w="2127" w:type="dxa"/>
            <w:vAlign w:val="center"/>
          </w:tcPr>
          <w:p>
            <w:pPr>
              <w:jc w:val="center"/>
              <w:rPr>
                <w:rFonts w:ascii="楷体" w:hAnsi="楷体" w:eastAsia="楷体" w:cs="仿宋"/>
                <w:sz w:val="24"/>
                <w:szCs w:val="24"/>
              </w:rPr>
            </w:pPr>
            <w:r>
              <w:rPr>
                <w:rFonts w:hint="eastAsia" w:ascii="楷体" w:hAnsi="楷体" w:eastAsia="楷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5" w:type="dxa"/>
            <w:vAlign w:val="center"/>
          </w:tcPr>
          <w:p>
            <w:pPr>
              <w:jc w:val="center"/>
              <w:rPr>
                <w:rFonts w:ascii="楷体" w:hAnsi="楷体" w:eastAsia="楷体"/>
                <w:sz w:val="24"/>
                <w:szCs w:val="24"/>
              </w:rPr>
            </w:pPr>
            <w:r>
              <w:rPr>
                <w:rFonts w:ascii="楷体" w:hAnsi="楷体" w:eastAsia="楷体"/>
                <w:sz w:val="24"/>
                <w:szCs w:val="24"/>
              </w:rPr>
              <w:t>1</w:t>
            </w:r>
          </w:p>
        </w:tc>
        <w:tc>
          <w:tcPr>
            <w:tcW w:w="1920" w:type="dxa"/>
            <w:vAlign w:val="center"/>
          </w:tcPr>
          <w:p>
            <w:pPr>
              <w:jc w:val="center"/>
              <w:rPr>
                <w:rFonts w:ascii="仿宋" w:hAnsi="仿宋" w:eastAsia="仿宋"/>
                <w:sz w:val="24"/>
                <w:szCs w:val="24"/>
              </w:rPr>
            </w:pPr>
            <w:r>
              <w:rPr>
                <w:rFonts w:hint="eastAsia" w:ascii="仿宋" w:hAnsi="仿宋" w:eastAsia="仿宋" w:cs="宋体"/>
                <w:kern w:val="0"/>
                <w:sz w:val="24"/>
                <w:szCs w:val="24"/>
              </w:rPr>
              <w:t>生物医学信号采集处理系统</w:t>
            </w:r>
          </w:p>
        </w:tc>
        <w:tc>
          <w:tcPr>
            <w:tcW w:w="853" w:type="dxa"/>
            <w:vAlign w:val="center"/>
          </w:tcPr>
          <w:p>
            <w:pPr>
              <w:jc w:val="center"/>
              <w:rPr>
                <w:rFonts w:ascii="仿宋" w:hAnsi="仿宋" w:eastAsia="仿宋"/>
                <w:sz w:val="24"/>
                <w:szCs w:val="24"/>
              </w:rPr>
            </w:pPr>
            <w:r>
              <w:rPr>
                <w:rFonts w:hint="eastAsia" w:ascii="仿宋" w:hAnsi="仿宋" w:eastAsia="仿宋"/>
                <w:sz w:val="24"/>
                <w:szCs w:val="24"/>
              </w:rPr>
              <w:t>24</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375" w:type="dxa"/>
            <w:gridSpan w:val="2"/>
            <w:vAlign w:val="center"/>
          </w:tcPr>
          <w:p>
            <w:pPr>
              <w:rPr>
                <w:rFonts w:ascii="楷体" w:hAnsi="楷体" w:eastAsia="楷体" w:cs="仿宋"/>
                <w:sz w:val="24"/>
                <w:szCs w:val="24"/>
              </w:rPr>
            </w:pPr>
            <w:r>
              <w:rPr>
                <w:rFonts w:hint="eastAsia" w:ascii="楷体" w:hAnsi="楷体" w:eastAsia="楷体" w:cs="仿宋"/>
                <w:sz w:val="24"/>
                <w:szCs w:val="24"/>
              </w:rPr>
              <w:t xml:space="preserve">  合计（元）</w:t>
            </w:r>
          </w:p>
        </w:tc>
        <w:tc>
          <w:tcPr>
            <w:tcW w:w="7657" w:type="dxa"/>
            <w:gridSpan w:val="6"/>
            <w:vAlign w:val="center"/>
          </w:tcPr>
          <w:p>
            <w:pPr>
              <w:rPr>
                <w:rFonts w:ascii="楷体" w:hAnsi="楷体" w:eastAsia="楷体" w:cs="仿宋"/>
                <w:sz w:val="24"/>
                <w:szCs w:val="24"/>
              </w:rPr>
            </w:pPr>
            <w:r>
              <w:rPr>
                <w:rFonts w:hint="eastAsia" w:ascii="楷体" w:hAnsi="楷体" w:eastAsia="楷体"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附加条件</w:t>
            </w:r>
          </w:p>
        </w:tc>
        <w:tc>
          <w:tcPr>
            <w:tcW w:w="7657"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交货日期</w:t>
            </w:r>
          </w:p>
        </w:tc>
        <w:tc>
          <w:tcPr>
            <w:tcW w:w="7657" w:type="dxa"/>
            <w:gridSpan w:val="6"/>
            <w:vAlign w:val="center"/>
          </w:tcPr>
          <w:p>
            <w:pPr>
              <w:rPr>
                <w:rFonts w:ascii="楷体" w:hAnsi="楷体" w:eastAsia="楷体" w:cs="仿宋"/>
                <w:sz w:val="24"/>
                <w:szCs w:val="24"/>
              </w:rPr>
            </w:pPr>
            <w:r>
              <w:rPr>
                <w:rFonts w:hint="eastAsia" w:ascii="楷体" w:hAnsi="楷体" w:eastAsia="楷体"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报价商家名称</w:t>
            </w:r>
          </w:p>
          <w:p>
            <w:pPr>
              <w:jc w:val="center"/>
              <w:rPr>
                <w:rFonts w:ascii="楷体" w:hAnsi="楷体" w:eastAsia="楷体" w:cs="仿宋"/>
                <w:sz w:val="24"/>
                <w:szCs w:val="24"/>
              </w:rPr>
            </w:pPr>
            <w:r>
              <w:rPr>
                <w:rFonts w:hint="eastAsia" w:ascii="楷体" w:hAnsi="楷体" w:eastAsia="楷体" w:cs="仿宋"/>
                <w:sz w:val="24"/>
                <w:szCs w:val="24"/>
              </w:rPr>
              <w:t>（盖章）</w:t>
            </w:r>
          </w:p>
        </w:tc>
        <w:tc>
          <w:tcPr>
            <w:tcW w:w="7657"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联系人及电话</w:t>
            </w:r>
          </w:p>
        </w:tc>
        <w:tc>
          <w:tcPr>
            <w:tcW w:w="7657"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报价时间</w:t>
            </w:r>
          </w:p>
        </w:tc>
        <w:tc>
          <w:tcPr>
            <w:tcW w:w="7657"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年     月    日</w:t>
            </w:r>
          </w:p>
        </w:tc>
      </w:tr>
    </w:tbl>
    <w:p>
      <w:pPr>
        <w:pStyle w:val="5"/>
        <w:adjustRightInd w:val="0"/>
        <w:snapToGrid w:val="0"/>
        <w:spacing w:line="360" w:lineRule="auto"/>
        <w:ind w:firstLine="405"/>
        <w:rPr>
          <w:rFonts w:ascii="楷体" w:hAnsi="楷体" w:eastAsia="楷体"/>
          <w:sz w:val="28"/>
          <w:szCs w:val="28"/>
        </w:rPr>
      </w:pPr>
    </w:p>
    <w:p/>
    <w:p/>
    <w:p/>
    <w:p/>
    <w:p/>
    <w:p/>
    <w:p/>
    <w:p/>
    <w:p/>
    <w:p/>
    <w:p/>
    <w:p/>
    <w:p/>
    <w:p/>
    <w:p/>
    <w:p/>
    <w:p/>
    <w:p>
      <w:pPr>
        <w:jc w:val="center"/>
        <w:rPr>
          <w:b/>
          <w:sz w:val="28"/>
          <w:szCs w:val="28"/>
        </w:rPr>
      </w:pPr>
      <w:r>
        <w:rPr>
          <w:rFonts w:hint="eastAsia"/>
          <w:b/>
          <w:sz w:val="28"/>
          <w:szCs w:val="28"/>
        </w:rPr>
        <w:t>生物机能实验系统及设备主要技术参数</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6"/>
        <w:gridCol w:w="562"/>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品名</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数量</w:t>
            </w:r>
          </w:p>
        </w:tc>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75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宋体" w:hAnsi="宋体" w:eastAsia="宋体" w:cs="宋体"/>
                <w:kern w:val="0"/>
                <w:szCs w:val="21"/>
              </w:rPr>
              <w:t>生物医学信号采集处理系统</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24</w:t>
            </w:r>
          </w:p>
        </w:tc>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台</w:t>
            </w:r>
          </w:p>
        </w:tc>
        <w:tc>
          <w:tcPr>
            <w:tcW w:w="7527"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rPr>
                <w:szCs w:val="21"/>
              </w:rPr>
            </w:pPr>
            <w:r>
              <w:rPr>
                <w:rFonts w:hint="eastAsia"/>
                <w:szCs w:val="21"/>
              </w:rPr>
              <w:t>采样速度：0-1000KHz/S，采样频率可随意可调。</w:t>
            </w:r>
          </w:p>
          <w:p>
            <w:pPr>
              <w:rPr>
                <w:szCs w:val="21"/>
              </w:rPr>
            </w:pPr>
            <w:r>
              <w:rPr>
                <w:rFonts w:hint="eastAsia"/>
                <w:szCs w:val="21"/>
              </w:rPr>
              <w:t>2、模数（A/D）转换精度：16bit；放大倍数（输入范围）：5~40000倍程控切换。</w:t>
            </w:r>
          </w:p>
          <w:p>
            <w:pPr>
              <w:rPr>
                <w:rFonts w:ascii="宋体" w:hAnsi="宋体" w:cs="宋体"/>
                <w:kern w:val="0"/>
                <w:szCs w:val="21"/>
              </w:rPr>
            </w:pPr>
            <w:r>
              <w:rPr>
                <w:rFonts w:hint="eastAsia"/>
                <w:szCs w:val="21"/>
              </w:rPr>
              <w:t>★3、</w:t>
            </w:r>
            <w:r>
              <w:rPr>
                <w:rFonts w:hint="eastAsia" w:ascii="宋体" w:hAnsi="宋体" w:cs="宋体"/>
                <w:kern w:val="0"/>
                <w:szCs w:val="21"/>
              </w:rPr>
              <w:t>波形回放时，可以同时开展采样工作，操作期间不会间断。</w:t>
            </w:r>
          </w:p>
          <w:p>
            <w:pPr>
              <w:rPr>
                <w:rFonts w:ascii="宋体" w:hAnsi="宋体" w:cs="宋体"/>
                <w:kern w:val="0"/>
                <w:szCs w:val="21"/>
              </w:rPr>
            </w:pPr>
            <w:r>
              <w:rPr>
                <w:rFonts w:hint="eastAsia" w:ascii="宋体" w:hAnsi="宋体" w:cs="宋体"/>
                <w:kern w:val="0"/>
                <w:szCs w:val="21"/>
              </w:rPr>
              <w:t>4、信号输入通道：5个通道，四个通道性能参数一样，一个专用的心电通道。</w:t>
            </w:r>
          </w:p>
          <w:p>
            <w:pPr>
              <w:rPr>
                <w:rFonts w:ascii="宋体" w:hAnsi="宋体" w:cs="宋体"/>
                <w:kern w:val="0"/>
                <w:szCs w:val="21"/>
              </w:rPr>
            </w:pPr>
            <w:r>
              <w:rPr>
                <w:rFonts w:hint="eastAsia" w:ascii="宋体" w:hAnsi="宋体" w:cs="宋体"/>
                <w:kern w:val="0"/>
                <w:szCs w:val="21"/>
              </w:rPr>
              <w:t>★5、刺激输出通道：2个通道，刺激器带光电隔离，七种刺激模式：单刺激、串刺激、主周期刺激、自动频率刺激、自动波宽刺激、自动幅度刺激、自动间隔刺激。全程控调节三组输出：0~5v、0~10v 、0~100v（每一档可以随意可调）。</w:t>
            </w:r>
          </w:p>
          <w:p>
            <w:pPr>
              <w:rPr>
                <w:rFonts w:ascii="宋体" w:hAnsi="宋体" w:cs="宋体"/>
                <w:kern w:val="0"/>
                <w:szCs w:val="21"/>
              </w:rPr>
            </w:pPr>
            <w:r>
              <w:rPr>
                <w:rFonts w:hint="eastAsia" w:ascii="宋体" w:hAnsi="宋体" w:cs="宋体"/>
                <w:kern w:val="0"/>
                <w:szCs w:val="21"/>
              </w:rPr>
              <w:t xml:space="preserve">★6、具有刺激中断功能：在刺激过程中如需提前中断刺激，可以通过软件控制。 </w:t>
            </w:r>
          </w:p>
          <w:p>
            <w:pPr>
              <w:rPr>
                <w:rFonts w:ascii="宋体" w:hAnsi="宋体" w:cs="宋体"/>
                <w:kern w:val="0"/>
                <w:szCs w:val="21"/>
              </w:rPr>
            </w:pPr>
            <w:r>
              <w:rPr>
                <w:rFonts w:hint="eastAsia" w:ascii="宋体" w:hAnsi="宋体" w:cs="宋体"/>
                <w:kern w:val="0"/>
                <w:szCs w:val="21"/>
              </w:rPr>
              <w:t>★7、具有标记功能：可以在实验前、中、后，可以在实验波形的任意位置打标记；并且可以在实验过程中任意几个通道同进打标记，方便药理实验的记录、观察。</w:t>
            </w:r>
          </w:p>
          <w:p>
            <w:pPr>
              <w:rPr>
                <w:rFonts w:ascii="宋体" w:hAnsi="宋体" w:cs="宋体"/>
                <w:kern w:val="0"/>
                <w:szCs w:val="21"/>
              </w:rPr>
            </w:pPr>
            <w:r>
              <w:rPr>
                <w:rFonts w:hint="eastAsia" w:ascii="宋体" w:hAnsi="宋体" w:cs="宋体"/>
                <w:kern w:val="0"/>
                <w:szCs w:val="21"/>
              </w:rPr>
              <w:t>8、采样模式：手动和自动。</w:t>
            </w:r>
          </w:p>
          <w:p>
            <w:pPr>
              <w:rPr>
                <w:rFonts w:ascii="宋体" w:hAnsi="宋体" w:cs="宋体"/>
                <w:kern w:val="0"/>
                <w:szCs w:val="21"/>
              </w:rPr>
            </w:pPr>
            <w:r>
              <w:rPr>
                <w:rFonts w:hint="eastAsia" w:ascii="宋体" w:hAnsi="宋体" w:cs="宋体"/>
                <w:kern w:val="0"/>
                <w:szCs w:val="21"/>
              </w:rPr>
              <w:t>★ 9、具有编辑、增加、删除实验模块的功能。</w:t>
            </w:r>
          </w:p>
          <w:p>
            <w:pPr>
              <w:rPr>
                <w:rFonts w:ascii="宋体" w:hAnsi="宋体" w:cs="宋体"/>
                <w:kern w:val="0"/>
                <w:szCs w:val="21"/>
              </w:rPr>
            </w:pPr>
            <w:r>
              <w:rPr>
                <w:rFonts w:hint="eastAsia" w:ascii="宋体" w:hAnsi="宋体" w:cs="宋体"/>
                <w:kern w:val="0"/>
                <w:szCs w:val="21"/>
              </w:rPr>
              <w:t>★10、具有断电保存实验数据功能。</w:t>
            </w:r>
          </w:p>
          <w:p>
            <w:pPr>
              <w:rPr>
                <w:rFonts w:ascii="宋体" w:hAnsi="宋体" w:cs="宋体"/>
                <w:kern w:val="0"/>
                <w:szCs w:val="21"/>
              </w:rPr>
            </w:pPr>
            <w:r>
              <w:rPr>
                <w:rFonts w:hint="eastAsia" w:ascii="宋体" w:hAnsi="宋体" w:cs="宋体"/>
                <w:kern w:val="0"/>
                <w:szCs w:val="21"/>
              </w:rPr>
              <w:t>★11、具有免定标功能。</w:t>
            </w:r>
          </w:p>
          <w:p>
            <w:pPr>
              <w:rPr>
                <w:rFonts w:ascii="宋体" w:hAnsi="宋体" w:cs="宋体"/>
                <w:kern w:val="0"/>
                <w:szCs w:val="21"/>
              </w:rPr>
            </w:pPr>
            <w:r>
              <w:rPr>
                <w:rFonts w:hint="eastAsia" w:ascii="宋体" w:hAnsi="宋体" w:cs="宋体"/>
                <w:kern w:val="0"/>
                <w:szCs w:val="21"/>
              </w:rPr>
              <w:t>12、单窗显示：可将四通道波形叠加在同一基线上，方便各个实验进行纵向比较。</w:t>
            </w:r>
          </w:p>
          <w:p>
            <w:pPr>
              <w:rPr>
                <w:rFonts w:ascii="宋体" w:hAnsi="宋体" w:cs="宋体"/>
                <w:kern w:val="0"/>
                <w:szCs w:val="21"/>
              </w:rPr>
            </w:pPr>
            <w:r>
              <w:rPr>
                <w:rFonts w:hint="eastAsia" w:ascii="宋体" w:hAnsi="宋体" w:cs="宋体"/>
                <w:kern w:val="0"/>
                <w:szCs w:val="21"/>
              </w:rPr>
              <w:t>★13、软件支持同时打开多个窗口，便于观察、实验数据对比。</w:t>
            </w:r>
          </w:p>
          <w:p>
            <w:pPr>
              <w:rPr>
                <w:rFonts w:ascii="宋体" w:hAnsi="宋体" w:cs="宋体"/>
                <w:kern w:val="0"/>
                <w:szCs w:val="21"/>
              </w:rPr>
            </w:pPr>
            <w:r>
              <w:rPr>
                <w:rFonts w:hint="eastAsia" w:ascii="宋体" w:hAnsi="宋体" w:cs="宋体"/>
                <w:kern w:val="0"/>
                <w:szCs w:val="21"/>
              </w:rPr>
              <w:t>14、具有拓展功能：除常规实验外还可做科研实验，如脑LTP实验、微循环观察、胃肠电、心肌细胞动作电位、呼吸睡眠等。</w:t>
            </w:r>
          </w:p>
          <w:p>
            <w:pPr>
              <w:rPr>
                <w:rFonts w:ascii="宋体" w:hAnsi="宋体" w:cs="宋体"/>
                <w:kern w:val="0"/>
                <w:szCs w:val="21"/>
              </w:rPr>
            </w:pPr>
            <w:r>
              <w:rPr>
                <w:rFonts w:hint="eastAsia" w:ascii="宋体" w:hAnsi="宋体" w:cs="宋体"/>
                <w:kern w:val="0"/>
                <w:szCs w:val="21"/>
              </w:rPr>
              <w:t>15、第三通道可以自由切换成一个多导联的心电图机，具有心电网格功能。</w:t>
            </w:r>
          </w:p>
          <w:p>
            <w:pPr>
              <w:rPr>
                <w:rFonts w:ascii="宋体" w:hAnsi="宋体" w:cs="宋体"/>
                <w:kern w:val="0"/>
                <w:szCs w:val="21"/>
              </w:rPr>
            </w:pPr>
            <w:r>
              <w:rPr>
                <w:rFonts w:hint="eastAsia" w:ascii="宋体" w:hAnsi="宋体" w:cs="宋体"/>
                <w:kern w:val="0"/>
                <w:szCs w:val="21"/>
              </w:rPr>
              <w:t>16、自动进行设备级联，变成八个以上多个采集通道。最多可以显示32通道以便进行科研实验。</w:t>
            </w:r>
          </w:p>
          <w:p>
            <w:pPr>
              <w:rPr>
                <w:rFonts w:ascii="宋体" w:hAnsi="宋体" w:cs="宋体"/>
                <w:kern w:val="0"/>
                <w:szCs w:val="21"/>
              </w:rPr>
            </w:pPr>
            <w:r>
              <w:rPr>
                <w:rFonts w:hint="eastAsia" w:ascii="宋体" w:hAnsi="宋体" w:cs="宋体"/>
                <w:kern w:val="0"/>
                <w:szCs w:val="21"/>
              </w:rPr>
              <w:t>★17、可在系统上添加视频视教系统，并可通过生物医学信号采集处理系统软件调控摄像头的图像大小、距离远近、清晰度等数据。</w:t>
            </w:r>
          </w:p>
          <w:p>
            <w:pPr>
              <w:rPr>
                <w:rFonts w:ascii="宋体" w:hAnsi="宋体" w:cs="宋体"/>
                <w:kern w:val="0"/>
                <w:szCs w:val="21"/>
              </w:rPr>
            </w:pPr>
            <w:r>
              <w:rPr>
                <w:rFonts w:hint="eastAsia" w:ascii="宋体" w:hAnsi="宋体" w:cs="宋体"/>
                <w:kern w:val="0"/>
                <w:szCs w:val="21"/>
              </w:rPr>
              <w:t>★18、教师端能够通过采集系统软件控制学生的电脑，包括：锁定电脑，桌面远程开机，远程控制，网络设置，使用帮助。</w:t>
            </w:r>
          </w:p>
          <w:p>
            <w:pPr>
              <w:rPr>
                <w:rFonts w:ascii="宋体" w:hAnsi="宋体" w:cs="宋体"/>
                <w:kern w:val="0"/>
                <w:szCs w:val="21"/>
              </w:rPr>
            </w:pPr>
            <w:r>
              <w:rPr>
                <w:rFonts w:hint="eastAsia" w:ascii="宋体" w:hAnsi="宋体" w:cs="宋体"/>
                <w:kern w:val="0"/>
                <w:szCs w:val="21"/>
              </w:rPr>
              <w:t>19、制造厂商具有中国科学计量院数据采集器检测报告和计算机软件著作权登记证书。</w:t>
            </w:r>
          </w:p>
        </w:tc>
      </w:tr>
    </w:tbl>
    <w:p>
      <w:pPr>
        <w:rPr>
          <w:rFonts w:hint="eastAsia" w:ascii="宋体" w:hAnsi="宋体" w:eastAsia="宋体" w:cs="宋体"/>
          <w:b/>
          <w:kern w:val="0"/>
          <w:szCs w:val="21"/>
        </w:rPr>
      </w:pPr>
    </w:p>
    <w:p>
      <w:pPr>
        <w:rPr>
          <w:rFonts w:ascii="宋体" w:hAnsi="宋体" w:eastAsia="宋体" w:cs="宋体"/>
          <w:b/>
          <w:kern w:val="0"/>
          <w:szCs w:val="21"/>
        </w:rPr>
      </w:pPr>
      <w:r>
        <w:rPr>
          <w:rFonts w:hint="eastAsia" w:ascii="宋体" w:hAnsi="宋体" w:eastAsia="宋体" w:cs="宋体"/>
          <w:b/>
          <w:kern w:val="0"/>
          <w:szCs w:val="21"/>
        </w:rPr>
        <w:t>注：以上所有带“★”为实质性重要参数，不得负偏离。为保证产品质量，投标时须提供生产厂家或者总代理商针对本项目授权书原件。</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97B7E"/>
    <w:multiLevelType w:val="multilevel"/>
    <w:tmpl w:val="5E897B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30B49"/>
    <w:rsid w:val="001E0164"/>
    <w:rsid w:val="002636D3"/>
    <w:rsid w:val="003311B6"/>
    <w:rsid w:val="003426D6"/>
    <w:rsid w:val="00373767"/>
    <w:rsid w:val="00384FAF"/>
    <w:rsid w:val="003A11ED"/>
    <w:rsid w:val="003C7434"/>
    <w:rsid w:val="003F6309"/>
    <w:rsid w:val="00402610"/>
    <w:rsid w:val="0043404B"/>
    <w:rsid w:val="0048561E"/>
    <w:rsid w:val="00494220"/>
    <w:rsid w:val="004C7CE3"/>
    <w:rsid w:val="00584AB4"/>
    <w:rsid w:val="005905FF"/>
    <w:rsid w:val="005978FF"/>
    <w:rsid w:val="005A7DBF"/>
    <w:rsid w:val="00642F5F"/>
    <w:rsid w:val="006B72A3"/>
    <w:rsid w:val="007A3D22"/>
    <w:rsid w:val="00887312"/>
    <w:rsid w:val="00945D3B"/>
    <w:rsid w:val="009C7B8F"/>
    <w:rsid w:val="00B0409E"/>
    <w:rsid w:val="00B04D5A"/>
    <w:rsid w:val="00B37B0A"/>
    <w:rsid w:val="00B56261"/>
    <w:rsid w:val="00BA67DC"/>
    <w:rsid w:val="00D1358D"/>
    <w:rsid w:val="00D43755"/>
    <w:rsid w:val="00D526C0"/>
    <w:rsid w:val="00EB7687"/>
    <w:rsid w:val="00FB61D3"/>
    <w:rsid w:val="31B91770"/>
    <w:rsid w:val="3325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uiPriority w:val="99"/>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表格"/>
    <w:basedOn w:val="1"/>
    <w:next w:val="1"/>
    <w:uiPriority w:val="99"/>
    <w:pPr>
      <w:widowControl/>
      <w:jc w:val="center"/>
    </w:pPr>
    <w:rPr>
      <w:rFonts w:ascii="Calibri" w:hAnsi="Calibri" w:eastAsia="宋体" w:cs="黑体"/>
      <w:kern w:val="21"/>
      <w:szCs w:val="24"/>
    </w:rPr>
  </w:style>
  <w:style w:type="paragraph" w:customStyle="1" w:styleId="14">
    <w:name w:val="列出段落1"/>
    <w:basedOn w:val="1"/>
    <w:qFormat/>
    <w:uiPriority w:val="34"/>
    <w:pPr>
      <w:ind w:firstLine="420" w:firstLineChars="200"/>
    </w:pPr>
    <w:rPr>
      <w:rFonts w:ascii="Calibri" w:hAnsi="Calibri" w:eastAsia="宋体" w:cs="黑体"/>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268</Words>
  <Characters>1533</Characters>
  <Lines>12</Lines>
  <Paragraphs>3</Paragraphs>
  <ScaleCrop>false</ScaleCrop>
  <LinksUpToDate>false</LinksUpToDate>
  <CharactersWithSpaces>1798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镜花缘</cp:lastModifiedBy>
  <dcterms:modified xsi:type="dcterms:W3CDTF">2017-11-28T03:09:38Z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