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eastAsia" w:ascii="仿宋_GB2312" w:hAnsi="仿宋_GB2312" w:eastAsia="仿宋_GB2312" w:cs="仿宋_GB2312"/>
          <w:sz w:val="28"/>
          <w:szCs w:val="28"/>
        </w:rPr>
      </w:pPr>
      <w:bookmarkStart w:id="3" w:name="_GoBack"/>
      <w:bookmarkEnd w:id="3"/>
      <w:r>
        <w:rPr>
          <w:rFonts w:hint="eastAsia" w:ascii="仿宋_GB2312" w:hAnsi="仿宋_GB2312" w:eastAsia="仿宋_GB2312" w:cs="仿宋_GB2312"/>
          <w:sz w:val="28"/>
          <w:szCs w:val="28"/>
        </w:rPr>
        <w:t>附件1：</w:t>
      </w:r>
    </w:p>
    <w:p>
      <w:pPr>
        <w:pStyle w:val="5"/>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云舟知识服务空间系统采购项目报价表</w:t>
      </w:r>
    </w:p>
    <w:p>
      <w:pPr>
        <w:pStyle w:val="5"/>
        <w:jc w:val="center"/>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（有效报价时间：自发出之日起至2017年10月19日16时止）</w:t>
      </w:r>
    </w:p>
    <w:tbl>
      <w:tblPr>
        <w:tblStyle w:val="9"/>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1215"/>
        <w:gridCol w:w="628"/>
        <w:gridCol w:w="585"/>
        <w:gridCol w:w="1363"/>
        <w:gridCol w:w="1062"/>
        <w:gridCol w:w="109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trPr>
        <w:tc>
          <w:tcPr>
            <w:tcW w:w="81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序号</w:t>
            </w:r>
          </w:p>
        </w:tc>
        <w:tc>
          <w:tcPr>
            <w:tcW w:w="121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品名</w:t>
            </w:r>
          </w:p>
        </w:tc>
        <w:tc>
          <w:tcPr>
            <w:tcW w:w="62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w:t>
            </w:r>
          </w:p>
        </w:tc>
        <w:tc>
          <w:tcPr>
            <w:tcW w:w="58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w:t>
            </w:r>
          </w:p>
        </w:tc>
        <w:tc>
          <w:tcPr>
            <w:tcW w:w="1363"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品牌规格</w:t>
            </w:r>
          </w:p>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型号</w:t>
            </w:r>
          </w:p>
        </w:tc>
        <w:tc>
          <w:tcPr>
            <w:tcW w:w="1062"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含税单价（元）</w:t>
            </w:r>
          </w:p>
        </w:tc>
        <w:tc>
          <w:tcPr>
            <w:tcW w:w="1090"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含税总价（元）</w:t>
            </w:r>
          </w:p>
        </w:tc>
        <w:tc>
          <w:tcPr>
            <w:tcW w:w="1821"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81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21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云舟知识服务空间系统</w:t>
            </w:r>
          </w:p>
        </w:tc>
        <w:tc>
          <w:tcPr>
            <w:tcW w:w="628"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585" w:type="dxa"/>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套</w:t>
            </w:r>
          </w:p>
        </w:tc>
        <w:tc>
          <w:tcPr>
            <w:tcW w:w="1363" w:type="dxa"/>
            <w:vAlign w:val="center"/>
          </w:tcPr>
          <w:p>
            <w:pPr>
              <w:spacing w:before="100" w:beforeAutospacing="1" w:after="100" w:afterAutospacing="1"/>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见附件2</w:t>
            </w:r>
          </w:p>
        </w:tc>
        <w:tc>
          <w:tcPr>
            <w:tcW w:w="1062" w:type="dxa"/>
            <w:vAlign w:val="center"/>
          </w:tcPr>
          <w:p>
            <w:pPr>
              <w:spacing w:before="100" w:beforeAutospacing="1" w:after="100" w:afterAutospacing="1"/>
              <w:rPr>
                <w:rFonts w:hint="eastAsia" w:ascii="仿宋_GB2312" w:hAnsi="仿宋_GB2312" w:eastAsia="仿宋_GB2312" w:cs="仿宋_GB2312"/>
                <w:sz w:val="24"/>
                <w:szCs w:val="24"/>
              </w:rPr>
            </w:pPr>
          </w:p>
        </w:tc>
        <w:tc>
          <w:tcPr>
            <w:tcW w:w="1090" w:type="dxa"/>
            <w:vAlign w:val="center"/>
          </w:tcPr>
          <w:p>
            <w:pPr>
              <w:spacing w:before="100" w:beforeAutospacing="1" w:after="100" w:afterAutospacing="1"/>
              <w:rPr>
                <w:rFonts w:hint="eastAsia" w:ascii="仿宋_GB2312" w:hAnsi="仿宋_GB2312" w:eastAsia="仿宋_GB2312" w:cs="仿宋_GB2312"/>
                <w:sz w:val="24"/>
                <w:szCs w:val="24"/>
              </w:rPr>
            </w:pPr>
          </w:p>
        </w:tc>
        <w:tc>
          <w:tcPr>
            <w:tcW w:w="1821" w:type="dxa"/>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2033" w:type="dxa"/>
            <w:gridSpan w:val="2"/>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合计（元）</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小写：                      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附加条件</w:t>
            </w:r>
          </w:p>
        </w:tc>
        <w:tc>
          <w:tcPr>
            <w:tcW w:w="6549" w:type="dxa"/>
            <w:gridSpan w:val="6"/>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（如有请明确表述）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交货日期</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自签订合同之日起XX天内交货完毕、安装调试结束并投入使用。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报价商家名称</w:t>
            </w:r>
          </w:p>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（盖章）</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联系人及电话</w:t>
            </w:r>
          </w:p>
        </w:tc>
        <w:tc>
          <w:tcPr>
            <w:tcW w:w="6549" w:type="dxa"/>
            <w:gridSpan w:val="6"/>
            <w:vAlign w:val="center"/>
          </w:tcPr>
          <w:p>
            <w:pPr>
              <w:spacing w:before="100" w:beforeAutospacing="1" w:after="100" w:afterAutospacing="1"/>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2033" w:type="dxa"/>
            <w:gridSpan w:val="2"/>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报价时间</w:t>
            </w:r>
          </w:p>
        </w:tc>
        <w:tc>
          <w:tcPr>
            <w:tcW w:w="6549" w:type="dxa"/>
            <w:gridSpan w:val="6"/>
            <w:vAlign w:val="center"/>
          </w:tcPr>
          <w:p>
            <w:pPr>
              <w:spacing w:before="100" w:beforeAutospacing="1" w:after="100" w:afterAutospacing="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    日</w:t>
            </w:r>
          </w:p>
        </w:tc>
      </w:tr>
    </w:tbl>
    <w:p>
      <w:pPr>
        <w:spacing w:before="100" w:beforeAutospacing="1" w:after="100" w:afterAutospacing="1"/>
        <w:rPr>
          <w:rFonts w:hint="eastAsia" w:ascii="仿宋_GB2312" w:hAnsi="仿宋_GB2312" w:eastAsia="仿宋_GB2312" w:cs="仿宋_GB2312"/>
        </w:rPr>
      </w:pPr>
    </w:p>
    <w:p>
      <w:pPr>
        <w:spacing w:before="100" w:beforeAutospacing="1" w:after="100" w:afterAutospacing="1"/>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 xml:space="preserve">                  </w:t>
      </w: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p>
    <w:p>
      <w:pPr>
        <w:jc w:val="center"/>
        <w:rPr>
          <w:rFonts w:hint="eastAsia" w:ascii="仿宋_GB2312" w:hAnsi="仿宋_GB2312" w:eastAsia="仿宋_GB2312" w:cs="仿宋_GB2312"/>
          <w:b/>
          <w:sz w:val="28"/>
          <w:szCs w:val="28"/>
        </w:rPr>
      </w:pPr>
    </w:p>
    <w:p>
      <w:pPr>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云舟知识服务空间系统技术参数及要求</w:t>
      </w:r>
    </w:p>
    <w:p>
      <w:pPr>
        <w:numPr>
          <w:ilvl w:val="0"/>
          <w:numId w:val="1"/>
        </w:num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云舟知识服务空间系统功能要求</w:t>
      </w:r>
    </w:p>
    <w:p>
      <w:pPr>
        <w:spacing w:line="360" w:lineRule="auto"/>
        <w:rPr>
          <w:rFonts w:hint="eastAsia" w:ascii="仿宋_GB2312" w:hAnsi="仿宋_GB2312" w:eastAsia="仿宋_GB2312" w:cs="仿宋_GB2312"/>
          <w:sz w:val="24"/>
          <w:szCs w:val="24"/>
        </w:rPr>
      </w:pPr>
      <w:bookmarkStart w:id="0" w:name="_Toc434315264"/>
      <w:r>
        <w:rPr>
          <w:rFonts w:hint="eastAsia" w:ascii="仿宋_GB2312" w:hAnsi="仿宋_GB2312" w:eastAsia="仿宋_GB2312" w:cs="仿宋_GB2312"/>
          <w:sz w:val="24"/>
          <w:szCs w:val="24"/>
        </w:rPr>
        <w:t>1、需提供新型的专题建设与发布平台，打破传统书报刊的信息组织形式，以全新的专题形式将资源进行重组并提供深度服务</w:t>
      </w:r>
      <w:bookmarkEnd w:id="0"/>
      <w:r>
        <w:rPr>
          <w:rFonts w:hint="eastAsia" w:ascii="仿宋_GB2312" w:hAnsi="仿宋_GB2312" w:eastAsia="仿宋_GB2312" w:cs="仿宋_GB2312"/>
          <w:sz w:val="24"/>
          <w:szCs w:val="24"/>
        </w:rPr>
        <w:t>；</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2、需支持集资源、社交、空间等多功能为一体的全终端服务，PC与客户端数据及时同步，提供基于资源的社交，方便读者间的沟通与讨论；</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3、需支持单位首页个性化定制。单位管理员可以根据本单位特色、专业优势分类等进行相应管理；</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4、需支持用户多维度的行为统计分析，为本馆读者服务提供大数据支持。单位管理员有权限可以获取单位内读者的使用情况，如读书时间排行、阅读笔记、学术讨论活跃度排行等多个角度的情况。</w:t>
      </w:r>
    </w:p>
    <w:p>
      <w:pPr>
        <w:numPr>
          <w:ilvl w:val="0"/>
          <w:numId w:val="1"/>
        </w:numPr>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云舟知识服务空间系统技术要求</w:t>
      </w:r>
    </w:p>
    <w:p>
      <w:pPr>
        <w:pStyle w:val="6"/>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（一）专题创作工具</w:t>
      </w:r>
    </w:p>
    <w:p>
      <w:pPr>
        <w:numPr>
          <w:ilvl w:val="0"/>
          <w:numId w:val="2"/>
        </w:num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PC端支持通过富媒体的编辑器创建专题，支持图书、音视频、图片、链接及专题等内容插入；</w:t>
      </w:r>
    </w:p>
    <w:p>
      <w:pPr>
        <w:pStyle w:val="16"/>
        <w:numPr>
          <w:ilvl w:val="0"/>
          <w:numId w:val="2"/>
        </w:numPr>
        <w:adjustRightInd w:val="0"/>
        <w:snapToGrid w:val="0"/>
        <w:spacing w:line="360" w:lineRule="auto"/>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编辑器支持多种文档格式的上传，包括DOC、PPT、PDF、TXT等，上传后自动转码，无需下载可以直接在线阅读；</w:t>
      </w:r>
    </w:p>
    <w:p>
      <w:pPr>
        <w:pStyle w:val="16"/>
        <w:numPr>
          <w:ilvl w:val="0"/>
          <w:numId w:val="2"/>
        </w:numPr>
        <w:tabs>
          <w:tab w:val="left" w:pos="425"/>
        </w:tabs>
        <w:adjustRightInd w:val="0"/>
        <w:snapToGrid w:val="0"/>
        <w:spacing w:line="360" w:lineRule="auto"/>
        <w:ind w:lef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支持rmvb、3gp、mpg、mpeg、mov、wmv、asf、avi、mkv、mp4、flv、vob、f4v等高清和网络格式视频上传，视频上传后自动转码，无需下载可以直接在线进行播放；</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4、支持直接将从word中将内容复制粘贴到富媒体编辑器内，并完整保留里面的文字和图片等内容；</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5、专题库建设，支持与3亿条以上的元数据搜索平台无缝对接，能够快速形成单位机构知识库、校友文库等特色专题库；</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6、支持专题发布，发布后的专题全终端可见，且自动形成专题唯一标识（二维码），通过二维码扫描可快速实现专题内容传播与分享；</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7、支持专题下载，且可以分章节下载，专题下载后可在离线环境下阅览专题内容；</w:t>
      </w: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8、专题支持转发、评论、点赞等操作；可以对专题创建者进行赞赏，可以为专题评分、加标签；</w:t>
      </w:r>
    </w:p>
    <w:p>
      <w:pPr>
        <w:pStyle w:val="6"/>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（二）、学术交流平台</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1、提供全终端学术交流互动平台，且支持基于任意专题资源创建小组开展讨论，小组可以设置为公开和私有两种状态；</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2、私有小组可以由创建者通过邀请码或使用客户端扫码邀请个人加入小组，小组内支持创建多个话题，话题可置顶；</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3、支持系统内个人或者多人发起消息及讨论，支持系统用户的电话、消息、邮件、语音聊天等主动交流的发起方式；</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4、支持关注本系统本单位任意成员动态，支持私信关注的人的功能；</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5、支持笔记记录、管理、分享、点赞功能，笔记可公开、可私有、可共享给部分好友；</w:t>
      </w:r>
    </w:p>
    <w:p>
      <w:pPr>
        <w:pStyle w:val="15"/>
        <w:spacing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6、支持基于专题资源进行多种形式互动分享，如：专题评论、转发，且可以转发至：小组、笔记、消息、通知、微信好友、朋友圈等，实现知识流转有效性；</w:t>
      </w:r>
    </w:p>
    <w:p>
      <w:pPr>
        <w:pStyle w:val="15"/>
        <w:spacing w:line="360" w:lineRule="auto"/>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7、支持用文件夹的形式对专题进行管理，且文件夹可以直接转发至：小组、笔记、消息、通知中</w:t>
      </w:r>
      <w:r>
        <w:rPr>
          <w:rFonts w:hint="eastAsia" w:ascii="仿宋_GB2312" w:hAnsi="仿宋_GB2312" w:eastAsia="仿宋_GB2312" w:cs="仿宋_GB2312"/>
          <w:color w:val="000000"/>
          <w:kern w:val="0"/>
          <w:sz w:val="24"/>
          <w:szCs w:val="24"/>
        </w:rPr>
        <w:t>；</w:t>
      </w:r>
    </w:p>
    <w:p>
      <w:pPr>
        <w:pStyle w:val="6"/>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（三）、个性化学习空间</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1、为每个读者打造个性化的主页，实名认证，记录其学习历程；</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2、学习空间采用APP架构，所有学习服务APP化，至少包含以下APP：</w:t>
      </w:r>
    </w:p>
    <w:p>
      <w:pPr>
        <w:adjustRightInd w:val="0"/>
        <w:snapToGrid w:val="0"/>
        <w:spacing w:line="360" w:lineRule="auto"/>
        <w:rPr>
          <w:rFonts w:hint="eastAsia" w:ascii="仿宋_GB2312" w:hAnsi="仿宋_GB2312" w:eastAsia="仿宋_GB2312" w:cs="仿宋_GB2312"/>
          <w:sz w:val="24"/>
          <w:szCs w:val="24"/>
        </w:rPr>
      </w:pPr>
      <w:bookmarkStart w:id="1" w:name="_Toc336383463"/>
      <w:bookmarkStart w:id="2" w:name="_Toc214383467"/>
      <w:r>
        <w:rPr>
          <w:rFonts w:hint="eastAsia" w:ascii="仿宋_GB2312" w:hAnsi="仿宋_GB2312" w:eastAsia="仿宋_GB2312" w:cs="仿宋_GB2312"/>
          <w:sz w:val="24"/>
          <w:szCs w:val="24"/>
        </w:rPr>
        <w:t xml:space="preserve">1）专题创作：提供专题创作工具，支持自主的资源管理及专题创作，且支持在专题市场中进行专题查阅； </w:t>
      </w:r>
    </w:p>
    <w:bookmarkEnd w:id="1"/>
    <w:bookmarkEnd w:id="2"/>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2）小组：用户可以自己创建小组，可以设定小组名称、加入的权限，权限包括公开加入、邀请加入、审批加入等，用户可以浏览和发现小组；</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3）笔记：支持创建个人笔记，且能够分类管理、设置分享范围；支持查看好友笔记并进行点赞、评论等互动；</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4）我的：支持查看个人创作、收藏的专题，且支持对专题进行分类管理；</w:t>
      </w:r>
    </w:p>
    <w:p>
      <w:pPr>
        <w:pStyle w:val="6"/>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（四）、统计管理服务</w:t>
      </w:r>
    </w:p>
    <w:p>
      <w:pPr>
        <w:pStyle w:val="15"/>
        <w:spacing w:line="360" w:lineRule="auto"/>
        <w:ind w:firstLine="0" w:firstLineChars="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1、管理员可以根据学校师生创建的专题，设置具有学校特色的域，按域管理专题，可以将域置顶到首页，将更多优质的域推荐教师、学生；</w:t>
      </w:r>
    </w:p>
    <w:p>
      <w:pPr>
        <w:pStyle w:val="15"/>
        <w:spacing w:line="360" w:lineRule="auto"/>
        <w:ind w:firstLine="0" w:firstLineChars="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2、管理员可以推进首页轮播图，可以推荐首页展示的专题；</w:t>
      </w:r>
    </w:p>
    <w:p>
      <w:pPr>
        <w:adjustRightInd w:val="0"/>
        <w:snapToGrid w:val="0"/>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3、支持用户行为统计，管理员可查询单位内收藏量、创建专题量、读书时间、使用量、笔记等多维度的排行统计；</w:t>
      </w:r>
    </w:p>
    <w:p>
      <w:pPr>
        <w:pStyle w:val="6"/>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（五）、系统整体性能</w:t>
      </w:r>
    </w:p>
    <w:p>
      <w:pPr>
        <w:widowControl/>
        <w:numPr>
          <w:ilvl w:val="0"/>
          <w:numId w:val="3"/>
        </w:numPr>
        <w:tabs>
          <w:tab w:val="left" w:pos="425"/>
        </w:tabs>
        <w:adjustRightInd w:val="0"/>
        <w:snapToGri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系统设计满足大规模用户使用、支持分布式部署，满足万人在线使用的性能要求；</w:t>
      </w:r>
    </w:p>
    <w:p>
      <w:pPr>
        <w:widowControl/>
        <w:numPr>
          <w:ilvl w:val="0"/>
          <w:numId w:val="3"/>
        </w:numPr>
        <w:tabs>
          <w:tab w:val="left" w:pos="425"/>
        </w:tabs>
        <w:adjustRightInd w:val="0"/>
        <w:snapToGri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采用B/S结构，基于J2EE架构</w:t>
      </w:r>
      <w:r>
        <w:rPr>
          <w:rFonts w:hint="eastAsia" w:ascii="仿宋_GB2312" w:hAnsi="仿宋_GB2312" w:eastAsia="仿宋_GB2312" w:cs="仿宋_GB2312"/>
          <w:sz w:val="24"/>
          <w:szCs w:val="24"/>
        </w:rPr>
        <w:t>，</w:t>
      </w:r>
      <w:r>
        <w:rPr>
          <w:rFonts w:hint="eastAsia" w:ascii="仿宋_GB2312" w:hAnsi="仿宋_GB2312" w:eastAsia="仿宋_GB2312" w:cs="仿宋_GB2312"/>
          <w:color w:val="000000"/>
          <w:sz w:val="24"/>
          <w:szCs w:val="24"/>
        </w:rPr>
        <w:t>页面采用Web2.0 AJAX开发，支持IE9及以上版本、safari、firefox、chrome等浏览器；</w:t>
      </w:r>
    </w:p>
    <w:p>
      <w:pPr>
        <w:widowControl/>
        <w:numPr>
          <w:ilvl w:val="0"/>
          <w:numId w:val="3"/>
        </w:numPr>
        <w:adjustRightInd w:val="0"/>
        <w:snapToGrid w:val="0"/>
        <w:spacing w:line="36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支持Web服务器集群；具有安全策略和备份机制，可根据不同的业务要求采用不同的安全措施，保证发生故障时不影响整个系统的正常运行。</w:t>
      </w:r>
    </w:p>
    <w:p>
      <w:pPr>
        <w:widowControl/>
        <w:adjustRightInd w:val="0"/>
        <w:snapToGrid w:val="0"/>
        <w:spacing w:line="360" w:lineRule="auto"/>
        <w:jc w:val="left"/>
        <w:rPr>
          <w:rFonts w:hint="eastAsia" w:ascii="仿宋_GB2312" w:hAnsi="仿宋_GB2312" w:eastAsia="仿宋_GB2312" w:cs="仿宋_GB2312"/>
          <w:color w:val="000000"/>
          <w:sz w:val="24"/>
          <w:szCs w:val="24"/>
        </w:rPr>
      </w:pPr>
    </w:p>
    <w:p>
      <w:pPr>
        <w:spacing w:line="360" w:lineRule="auto"/>
        <w:rPr>
          <w:rFonts w:hint="eastAsia" w:ascii="仿宋_GB2312" w:hAnsi="仿宋_GB2312" w:eastAsia="仿宋_GB2312" w:cs="仿宋_GB2312"/>
          <w:sz w:val="24"/>
          <w:szCs w:val="24"/>
        </w:rPr>
      </w:pPr>
      <w:r>
        <w:rPr>
          <w:rFonts w:hint="eastAsia" w:ascii="仿宋_GB2312" w:hAnsi="仿宋_GB2312" w:eastAsia="仿宋_GB2312" w:cs="仿宋_GB2312"/>
          <w:sz w:val="28"/>
          <w:szCs w:val="28"/>
        </w:rPr>
        <w:t>三</w:t>
      </w:r>
      <w:r>
        <w:rPr>
          <w:rFonts w:hint="eastAsia" w:ascii="仿宋_GB2312" w:hAnsi="仿宋_GB2312" w:eastAsia="仿宋_GB2312" w:cs="仿宋_GB2312"/>
          <w:sz w:val="24"/>
          <w:szCs w:val="24"/>
        </w:rPr>
        <w:t>、</w:t>
      </w:r>
      <w:r>
        <w:rPr>
          <w:rFonts w:hint="eastAsia" w:ascii="仿宋_GB2312" w:hAnsi="仿宋_GB2312" w:eastAsia="仿宋_GB2312" w:cs="仿宋_GB2312"/>
          <w:b/>
          <w:sz w:val="28"/>
          <w:szCs w:val="28"/>
        </w:rPr>
        <w:t>云舟知识服务空间系统售后服务要求</w:t>
      </w:r>
    </w:p>
    <w:p>
      <w:pPr>
        <w:widowControl/>
        <w:adjustRightInd w:val="0"/>
        <w:snapToGrid w:val="0"/>
        <w:spacing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1、在规定期限内完成对系统的安装与调试，并保证数据库的良好运行；</w:t>
      </w:r>
    </w:p>
    <w:p>
      <w:pPr>
        <w:widowControl/>
        <w:adjustRightInd w:val="0"/>
        <w:snapToGrid w:val="0"/>
        <w:spacing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2、免费提供针对管理员和用户的培训活动，对产品的使用方法、功能及其他使用过程中的注意问题进行全面深入的讲解；</w:t>
      </w:r>
    </w:p>
    <w:p>
      <w:pPr>
        <w:widowControl/>
        <w:adjustRightInd w:val="0"/>
        <w:snapToGrid w:val="0"/>
        <w:spacing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3、本省备办事处，出现问题随时解决。公司须承诺7*24小时无间断服务，提供邮件、电话、在线客服等多种问题答疑的途径。通过电话等无法解决问题时，公司须在24小时内派技术工程师到现场处理；</w:t>
      </w:r>
    </w:p>
    <w:p>
      <w:pPr>
        <w:widowControl/>
        <w:numPr>
          <w:ilvl w:val="0"/>
          <w:numId w:val="3"/>
        </w:numPr>
        <w:adjustRightInd w:val="0"/>
        <w:snapToGrid w:val="0"/>
        <w:spacing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服务模式：全终端使用；</w:t>
      </w:r>
    </w:p>
    <w:p>
      <w:pPr>
        <w:widowControl/>
        <w:numPr>
          <w:ilvl w:val="0"/>
          <w:numId w:val="3"/>
        </w:numPr>
        <w:adjustRightInd w:val="0"/>
        <w:snapToGrid w:val="0"/>
        <w:spacing w:line="360" w:lineRule="auto"/>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对学院购买的数字资源可实现手机访问。</w:t>
      </w:r>
    </w:p>
    <w:p>
      <w:pPr>
        <w:autoSpaceDE w:val="0"/>
        <w:spacing w:line="360" w:lineRule="auto"/>
        <w:ind w:firstLine="560"/>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altName w:val="Microsoft Sans Serif"/>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PMingLiU"/>
    <w:panose1 w:val="02070309020205020404"/>
    <w:charset w:val="01"/>
    <w:family w:val="modern"/>
    <w:pitch w:val="default"/>
    <w:sig w:usb0="E0002A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Microsoft Sans Serif">
    <w:panose1 w:val="020B0604020202020204"/>
    <w:charset w:val="00"/>
    <w:family w:val="auto"/>
    <w:pitch w:val="default"/>
    <w:sig w:usb0="61007BDF" w:usb1="80000000" w:usb2="00000008" w:usb3="00000000" w:csb0="200101FF" w:csb1="20280000"/>
  </w:font>
  <w:font w:name="Microsoft Sans Serif">
    <w:panose1 w:val="020B0604020202020204"/>
    <w:charset w:val="01"/>
    <w:family w:val="swiss"/>
    <w:pitch w:val="default"/>
    <w:sig w:usb0="61007BDF" w:usb1="80000000" w:usb2="00000008" w:usb3="00000000" w:csb0="200101FF" w:csb1="20280000"/>
  </w:font>
  <w:font w:name="MingLiU">
    <w:panose1 w:val="02020309000000000000"/>
    <w:charset w:val="88"/>
    <w:family w:val="auto"/>
    <w:pitch w:val="default"/>
    <w:sig w:usb0="00000003" w:usb1="082E0000" w:usb2="00000016" w:usb3="00000000" w:csb0="00100001" w:csb1="00000000"/>
  </w:font>
  <w:font w:name="MT Extra">
    <w:panose1 w:val="05050102010205020202"/>
    <w:charset w:val="00"/>
    <w:family w:val="auto"/>
    <w:pitch w:val="default"/>
    <w:sig w:usb0="8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D52AC"/>
    <w:multiLevelType w:val="multilevel"/>
    <w:tmpl w:val="227D52A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61E2404"/>
    <w:multiLevelType w:val="singleLevel"/>
    <w:tmpl w:val="561E2404"/>
    <w:lvl w:ilvl="0" w:tentative="0">
      <w:start w:val="1"/>
      <w:numFmt w:val="decimal"/>
      <w:suff w:val="nothing"/>
      <w:lvlText w:val="%1、"/>
      <w:lvlJc w:val="left"/>
    </w:lvl>
  </w:abstractNum>
  <w:abstractNum w:abstractNumId="2">
    <w:nsid w:val="59BF1715"/>
    <w:multiLevelType w:val="singleLevel"/>
    <w:tmpl w:val="59BF1715"/>
    <w:lvl w:ilvl="0" w:tentative="0">
      <w:start w:val="1"/>
      <w:numFmt w:val="chineseCounting"/>
      <w:suff w:val="nothing"/>
      <w:lvlText w:val="%1、"/>
      <w:lvlJc w:val="left"/>
      <w:rPr>
        <w:rFonts w:ascii="仿宋" w:hAnsi="仿宋" w:eastAsia="仿宋"/>
        <w:b/>
        <w:sz w:val="28"/>
        <w:szCs w:val="28"/>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BCC"/>
    <w:rsid w:val="00020ACD"/>
    <w:rsid w:val="000E4A38"/>
    <w:rsid w:val="0014146C"/>
    <w:rsid w:val="00161331"/>
    <w:rsid w:val="001A0146"/>
    <w:rsid w:val="001A1CDC"/>
    <w:rsid w:val="001A304D"/>
    <w:rsid w:val="001D2B2E"/>
    <w:rsid w:val="001F4DD8"/>
    <w:rsid w:val="002315C1"/>
    <w:rsid w:val="00234B53"/>
    <w:rsid w:val="00274058"/>
    <w:rsid w:val="00364284"/>
    <w:rsid w:val="00380B25"/>
    <w:rsid w:val="003E3AA8"/>
    <w:rsid w:val="00451BBD"/>
    <w:rsid w:val="00480AE9"/>
    <w:rsid w:val="004862CD"/>
    <w:rsid w:val="00496765"/>
    <w:rsid w:val="004B010D"/>
    <w:rsid w:val="004B6C6E"/>
    <w:rsid w:val="004C0604"/>
    <w:rsid w:val="005541A1"/>
    <w:rsid w:val="005D11FF"/>
    <w:rsid w:val="00625210"/>
    <w:rsid w:val="00645AD7"/>
    <w:rsid w:val="006867B0"/>
    <w:rsid w:val="006F7F37"/>
    <w:rsid w:val="00703E98"/>
    <w:rsid w:val="00706520"/>
    <w:rsid w:val="00711D22"/>
    <w:rsid w:val="007D7BCC"/>
    <w:rsid w:val="007E5202"/>
    <w:rsid w:val="00811AFA"/>
    <w:rsid w:val="00824039"/>
    <w:rsid w:val="008A46BB"/>
    <w:rsid w:val="008A62B5"/>
    <w:rsid w:val="008A77B4"/>
    <w:rsid w:val="008D13E2"/>
    <w:rsid w:val="008D37E9"/>
    <w:rsid w:val="009370D2"/>
    <w:rsid w:val="00954230"/>
    <w:rsid w:val="00964154"/>
    <w:rsid w:val="009C0C23"/>
    <w:rsid w:val="009C179B"/>
    <w:rsid w:val="00A26BA6"/>
    <w:rsid w:val="00A7148C"/>
    <w:rsid w:val="00A74C5C"/>
    <w:rsid w:val="00A826F6"/>
    <w:rsid w:val="00A95BE2"/>
    <w:rsid w:val="00B5640D"/>
    <w:rsid w:val="00B56817"/>
    <w:rsid w:val="00BB4CFD"/>
    <w:rsid w:val="00BC7A8B"/>
    <w:rsid w:val="00BF0347"/>
    <w:rsid w:val="00C62EA2"/>
    <w:rsid w:val="00C679D8"/>
    <w:rsid w:val="00C96A4D"/>
    <w:rsid w:val="00CB18EF"/>
    <w:rsid w:val="00CD4C48"/>
    <w:rsid w:val="00D44D2B"/>
    <w:rsid w:val="00D45870"/>
    <w:rsid w:val="00D81BD7"/>
    <w:rsid w:val="00D946D5"/>
    <w:rsid w:val="00DA5D86"/>
    <w:rsid w:val="00DE645E"/>
    <w:rsid w:val="00E122EB"/>
    <w:rsid w:val="00E206EA"/>
    <w:rsid w:val="00E23B2B"/>
    <w:rsid w:val="00E44586"/>
    <w:rsid w:val="00E50C02"/>
    <w:rsid w:val="00E63D5B"/>
    <w:rsid w:val="00E92252"/>
    <w:rsid w:val="00EA7248"/>
    <w:rsid w:val="00EE3D5E"/>
    <w:rsid w:val="00F0474B"/>
    <w:rsid w:val="00F14C09"/>
    <w:rsid w:val="00F518EB"/>
    <w:rsid w:val="00F673EA"/>
    <w:rsid w:val="00FA3B90"/>
    <w:rsid w:val="5F0D6427"/>
    <w:rsid w:val="5FD63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unhideWhenUsed/>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4"/>
    <w:qFormat/>
    <w:uiPriority w:val="10"/>
    <w:pPr>
      <w:spacing w:before="240" w:after="60"/>
      <w:jc w:val="center"/>
      <w:outlineLvl w:val="0"/>
    </w:pPr>
    <w:rPr>
      <w:rFonts w:ascii="Cambria" w:hAnsi="Cambria" w:cs="Times New Roman"/>
      <w:b/>
      <w:bCs/>
      <w:sz w:val="32"/>
      <w:szCs w:val="32"/>
    </w:rPr>
  </w:style>
  <w:style w:type="character" w:styleId="8">
    <w:name w:val="Strong"/>
    <w:basedOn w:val="7"/>
    <w:qFormat/>
    <w:uiPriority w:val="22"/>
    <w:rPr>
      <w:b/>
      <w:bCs/>
    </w:rPr>
  </w:style>
  <w:style w:type="character" w:customStyle="1" w:styleId="10">
    <w:name w:val="页眉 Char"/>
    <w:basedOn w:val="7"/>
    <w:link w:val="4"/>
    <w:semiHidden/>
    <w:uiPriority w:val="99"/>
    <w:rPr>
      <w:sz w:val="18"/>
      <w:szCs w:val="18"/>
    </w:rPr>
  </w:style>
  <w:style w:type="character" w:customStyle="1" w:styleId="11">
    <w:name w:val="页脚 Char"/>
    <w:basedOn w:val="7"/>
    <w:link w:val="3"/>
    <w:semiHidden/>
    <w:uiPriority w:val="99"/>
    <w:rPr>
      <w:sz w:val="18"/>
      <w:szCs w:val="18"/>
    </w:rPr>
  </w:style>
  <w:style w:type="character" w:customStyle="1" w:styleId="12">
    <w:name w:val="日期 Char"/>
    <w:basedOn w:val="7"/>
    <w:link w:val="2"/>
    <w:semiHidden/>
    <w:uiPriority w:val="99"/>
  </w:style>
  <w:style w:type="character" w:customStyle="1" w:styleId="13">
    <w:name w:val="标题 Char"/>
    <w:link w:val="6"/>
    <w:uiPriority w:val="10"/>
    <w:rPr>
      <w:rFonts w:ascii="Cambria" w:hAnsi="Cambria" w:cs="Times New Roman"/>
      <w:b/>
      <w:bCs/>
      <w:sz w:val="32"/>
      <w:szCs w:val="32"/>
    </w:rPr>
  </w:style>
  <w:style w:type="character" w:customStyle="1" w:styleId="14">
    <w:name w:val="标题 Char1"/>
    <w:basedOn w:val="7"/>
    <w:link w:val="6"/>
    <w:uiPriority w:val="10"/>
    <w:rPr>
      <w:rFonts w:eastAsia="宋体" w:asciiTheme="majorHAnsi" w:hAnsiTheme="majorHAnsi" w:cstheme="majorBidi"/>
      <w:b/>
      <w:bCs/>
      <w:sz w:val="32"/>
      <w:szCs w:val="32"/>
    </w:rPr>
  </w:style>
  <w:style w:type="paragraph" w:customStyle="1" w:styleId="15">
    <w:name w:val="列出段落1"/>
    <w:basedOn w:val="1"/>
    <w:uiPriority w:val="0"/>
    <w:pPr>
      <w:ind w:firstLine="420" w:firstLineChars="200"/>
    </w:pPr>
    <w:rPr>
      <w:rFonts w:ascii="Calibri" w:hAnsi="Calibri" w:eastAsia="宋体" w:cs="Calibri"/>
      <w:szCs w:val="21"/>
    </w:rPr>
  </w:style>
  <w:style w:type="paragraph" w:customStyle="1" w:styleId="16">
    <w:name w:val="彩色列表 - 强调文字颜色 12"/>
    <w:basedOn w:val="1"/>
    <w:qFormat/>
    <w:uiPriority w:val="34"/>
    <w:pPr>
      <w:ind w:left="720"/>
      <w:contextualSpacing/>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389</Words>
  <Characters>2219</Characters>
  <Lines>18</Lines>
  <Paragraphs>5</Paragraphs>
  <ScaleCrop>false</ScaleCrop>
  <LinksUpToDate>false</LinksUpToDate>
  <CharactersWithSpaces>2603</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2017-10-13T01:45:00Z</dcterms:created>
  <dc:creator>Ld</dc:creator>
  <cp:lastModifiedBy>Administrator</cp:lastModifiedBy>
  <dcterms:modified xsi:type="dcterms:W3CDTF">2017-10-17T00:25:44Z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