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rFonts w:hint="eastAsia" w:ascii="仿宋_GB2312" w:hAnsi="仿宋_GB2312" w:eastAsia="仿宋_GB2312" w:cs="仿宋_GB2312"/>
          <w:bCs/>
          <w:sz w:val="28"/>
          <w:szCs w:val="28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28"/>
          <w:szCs w:val="28"/>
        </w:rPr>
        <w:t>附件1：</w:t>
      </w:r>
    </w:p>
    <w:p>
      <w:pPr>
        <w:pStyle w:val="8"/>
        <w:jc w:val="center"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新校区1号食堂发动机组安装工程设备采购项目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报价表</w:t>
      </w:r>
    </w:p>
    <w:p>
      <w:pPr>
        <w:pStyle w:val="8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（有效报价时间：自发出之日起至2017年10月19日16时止）</w:t>
      </w:r>
    </w:p>
    <w:tbl>
      <w:tblPr>
        <w:tblStyle w:val="11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215"/>
        <w:gridCol w:w="628"/>
        <w:gridCol w:w="585"/>
        <w:gridCol w:w="1363"/>
        <w:gridCol w:w="1062"/>
        <w:gridCol w:w="1090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序号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品名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数量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品牌规格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型号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含税单价（元）</w:t>
            </w: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含税总价（元）</w:t>
            </w: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12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新校区1号食堂备用电源发动机组安装工程</w:t>
            </w:r>
          </w:p>
        </w:tc>
        <w:tc>
          <w:tcPr>
            <w:tcW w:w="628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58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项</w:t>
            </w:r>
          </w:p>
        </w:tc>
        <w:tc>
          <w:tcPr>
            <w:tcW w:w="1363" w:type="dxa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见附件2</w:t>
            </w:r>
          </w:p>
        </w:tc>
        <w:tc>
          <w:tcPr>
            <w:tcW w:w="1062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21" w:type="dxa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合计（元）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小写：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附加条件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交货日期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报价商家名称</w:t>
            </w:r>
          </w:p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（盖章）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联系人及电话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0" w:hRule="atLeast"/>
        </w:trPr>
        <w:tc>
          <w:tcPr>
            <w:tcW w:w="2033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报价时间</w:t>
            </w:r>
          </w:p>
        </w:tc>
        <w:tc>
          <w:tcPr>
            <w:tcW w:w="6549" w:type="dxa"/>
            <w:gridSpan w:val="6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日</w:t>
            </w:r>
          </w:p>
        </w:tc>
      </w:tr>
    </w:tbl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spacing w:before="100" w:beforeAutospacing="1" w:after="100" w:afterAutospacing="1"/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附件2：  </w:t>
      </w:r>
    </w:p>
    <w:p>
      <w:pPr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新校区1号食堂发动机组技术参数</w:t>
      </w:r>
    </w:p>
    <w:p>
      <w:pPr>
        <w:pStyle w:val="4"/>
        <w:numPr>
          <w:ilvl w:val="0"/>
          <w:numId w:val="1"/>
        </w:numPr>
        <w:tabs>
          <w:tab w:val="left" w:pos="794"/>
        </w:tabs>
        <w:spacing w:line="264" w:lineRule="auto"/>
        <w:ind w:right="596"/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  <w:lang w:eastAsia="zh-CN"/>
        </w:rPr>
        <w:t>技术要求</w:t>
      </w:r>
    </w:p>
    <w:p>
      <w:pPr>
        <w:pStyle w:val="4"/>
        <w:tabs>
          <w:tab w:val="left" w:pos="910"/>
        </w:tabs>
        <w:spacing w:line="264" w:lineRule="auto"/>
        <w:ind w:right="5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自动启动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"/>
          <w:w w:val="95"/>
          <w:sz w:val="24"/>
          <w:szCs w:val="24"/>
        </w:rPr>
        <w:t>当市电出现故障、断电、欠压、过压、缺相时，机组能自动启动、自动升速、自动合闸，向</w:t>
      </w:r>
      <w:r>
        <w:rPr>
          <w:rFonts w:hint="eastAsia" w:ascii="仿宋_GB2312" w:hAnsi="仿宋_GB2312" w:eastAsia="仿宋_GB2312" w:cs="仿宋_GB2312"/>
          <w:sz w:val="24"/>
          <w:szCs w:val="24"/>
        </w:rPr>
        <w:t>负载供电。</w:t>
      </w:r>
    </w:p>
    <w:p>
      <w:pPr>
        <w:pStyle w:val="4"/>
        <w:tabs>
          <w:tab w:val="left" w:pos="910"/>
        </w:tabs>
        <w:spacing w:line="264" w:lineRule="auto"/>
        <w:ind w:right="47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自动停机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spacing w:val="-2"/>
          <w:w w:val="95"/>
          <w:sz w:val="24"/>
          <w:szCs w:val="24"/>
        </w:rPr>
        <w:t>当市电恢复，经判断正常后，控制切换开关，完成发电到市电的自动切换、然后控制机组降</w:t>
      </w:r>
      <w:r>
        <w:rPr>
          <w:rFonts w:hint="eastAsia" w:ascii="仿宋_GB2312" w:hAnsi="仿宋_GB2312" w:eastAsia="仿宋_GB2312" w:cs="仿宋_GB2312"/>
          <w:sz w:val="24"/>
          <w:szCs w:val="24"/>
        </w:rPr>
        <w:t>速、怠速运行</w:t>
      </w:r>
      <w:r>
        <w:rPr>
          <w:rFonts w:hint="eastAsia" w:ascii="仿宋_GB2312" w:hAnsi="仿宋_GB2312" w:eastAsia="仿宋_GB2312" w:cs="仿宋_GB2312"/>
          <w:spacing w:val="-63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3分钟后自动停机。</w:t>
      </w:r>
    </w:p>
    <w:p>
      <w:pPr>
        <w:pStyle w:val="4"/>
        <w:tabs>
          <w:tab w:val="left" w:pos="910"/>
        </w:tabs>
        <w:spacing w:line="264" w:lineRule="auto"/>
        <w:ind w:right="473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>3</w:t>
      </w: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自动保护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>机组在运行过程中，如果出现油压过低、超速、电压异常故障，则紧急停机。同时发出声光报警信号。如果出现水温高、油温高故障。则发出声光报警信号，经过延时后，正常停机。</w:t>
      </w:r>
    </w:p>
    <w:p>
      <w:pPr>
        <w:pStyle w:val="3"/>
        <w:tabs>
          <w:tab w:val="left" w:pos="910"/>
        </w:tabs>
        <w:spacing w:before="35"/>
        <w:ind w:right="361"/>
        <w:rPr>
          <w:rFonts w:hint="eastAsia" w:ascii="仿宋_GB2312" w:hAnsi="仿宋_GB2312" w:eastAsia="仿宋_GB2312" w:cs="仿宋_GB2312"/>
          <w:spacing w:val="-5"/>
          <w:w w:val="95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>4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三次启动功能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w w:val="95"/>
          <w:sz w:val="24"/>
          <w:szCs w:val="24"/>
        </w:rPr>
        <w:t>机组有三次启动功能，若第一次启动不成功，经10秒延时后再次启动。若第二次启动不成功，则延时后进行第三次启动。三次启动中只要有一次成功，就按预先设置的程序往下运行。</w:t>
      </w:r>
    </w:p>
    <w:p>
      <w:pPr>
        <w:pStyle w:val="4"/>
        <w:spacing w:line="266" w:lineRule="auto"/>
        <w:ind w:right="596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>5</w:t>
      </w:r>
      <w:r>
        <w:rPr>
          <w:rFonts w:hint="eastAsia" w:ascii="仿宋_GB2312" w:hAnsi="仿宋_GB2312" w:eastAsia="仿宋_GB2312" w:cs="仿宋_GB2312"/>
          <w:b/>
          <w:bCs/>
          <w:w w:val="95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自动维持准启动状态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>机组能自动维持准启动状态。此时机组的自动周期性预供油系统、油和水的自动加温系统、</w:t>
      </w:r>
      <w:r>
        <w:rPr>
          <w:rFonts w:hint="eastAsia" w:ascii="仿宋_GB2312" w:hAnsi="仿宋_GB2312" w:eastAsia="仿宋_GB2312" w:cs="仿宋_GB2312"/>
          <w:sz w:val="24"/>
          <w:szCs w:val="24"/>
        </w:rPr>
        <w:t>蓄电池的自动充电装置投入工作。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>6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具备维护性开机功能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当机组较长时间未启动时，可进行维护性开机，以检查机组性能及状态。维护性开机不影响市电的正常供电，在维护性开机时若出现市电故障，系统会自动转为正常开机状态并由机组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供电。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>7</w:t>
      </w:r>
      <w:r>
        <w:rPr>
          <w:rFonts w:hint="eastAsia" w:ascii="仿宋_GB2312" w:hAnsi="仿宋_GB2312" w:eastAsia="仿宋_GB2312" w:cs="仿宋_GB2312"/>
          <w:w w:val="95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</w:rPr>
        <w:t>具备手动、自动两种操作模式。</w:t>
      </w:r>
    </w:p>
    <w:p>
      <w:pPr>
        <w:pStyle w:val="2"/>
        <w:ind w:right="361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二、参数要求</w:t>
      </w:r>
    </w:p>
    <w:p>
      <w:pPr>
        <w:pStyle w:val="3"/>
        <w:ind w:right="361" w:firstLine="337" w:firstLineChars="150"/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</w:rPr>
      </w:pPr>
      <w:r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</w:rPr>
        <w:t>1、柴油发电机组</w:t>
      </w:r>
      <w:r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  <w:lang w:eastAsia="zh-CN"/>
        </w:rPr>
        <w:t>：</w:t>
      </w:r>
    </w:p>
    <w:p>
      <w:pPr>
        <w:pStyle w:val="3"/>
        <w:ind w:right="361" w:firstLine="336" w:firstLineChars="150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主用功率（kW/KVA）：120/150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额定电压（V）：  400/230V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额定频率（HZ）： 50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接线方式：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相4线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起动成功率：100%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3"/>
        <w:ind w:right="361" w:firstLine="361" w:firstLineChars="150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2、柴油机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主用功率（kW/KVA）：132/165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3"/>
        <w:ind w:right="361" w:firstLine="337" w:firstLineChars="150"/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</w:rPr>
        <w:t xml:space="preserve">3、发电机 </w:t>
      </w:r>
      <w:r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  <w:lang w:eastAsia="zh-CN"/>
        </w:rPr>
        <w:t>：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主用功率（kW/KVA）：120/150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额定电压（V）：400/230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电压输出范围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110V－690V可固定调整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额定功率因数：0.8（滞后）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相数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3相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接线方式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Y形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绕组材质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全铜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接地：中性点接地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pStyle w:val="3"/>
        <w:ind w:right="361" w:firstLine="337" w:firstLineChars="150"/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</w:rPr>
      </w:pPr>
      <w:r>
        <w:rPr>
          <w:rFonts w:hint="eastAsia" w:ascii="仿宋_GB2312" w:hAnsi="仿宋_GB2312" w:eastAsia="仿宋_GB2312" w:cs="仿宋_GB2312"/>
          <w:bCs w:val="0"/>
          <w:spacing w:val="-2"/>
          <w:w w:val="95"/>
          <w:sz w:val="24"/>
          <w:szCs w:val="24"/>
        </w:rPr>
        <w:t>4、控制系统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显示模式：液晶显示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自动功能：自动检测市电、自动启动、自动停机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柴油机监控项目：油压、水温、发动机转速、电池电压、频率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；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>发电机监控项目：电压、电流、三相检测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  <w:lang w:eastAsia="zh-CN"/>
        </w:rPr>
        <w:t>。</w:t>
      </w:r>
    </w:p>
    <w:p>
      <w:pPr>
        <w:pStyle w:val="3"/>
        <w:ind w:right="361"/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2"/>
          <w:w w:val="95"/>
          <w:sz w:val="24"/>
          <w:szCs w:val="24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FF1C"/>
    <w:multiLevelType w:val="singleLevel"/>
    <w:tmpl w:val="59CDFF1C"/>
    <w:lvl w:ilvl="0" w:tentative="0">
      <w:start w:val="1"/>
      <w:numFmt w:val="chineseCounting"/>
      <w:suff w:val="nothing"/>
      <w:lvlText w:val="%1、"/>
      <w:lvlJc w:val="left"/>
      <w:rPr>
        <w:rFonts w:ascii="仿宋" w:hAnsi="仿宋" w:eastAsia="仿宋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BCC"/>
    <w:rsid w:val="000833E7"/>
    <w:rsid w:val="00091997"/>
    <w:rsid w:val="000D7B5B"/>
    <w:rsid w:val="000E4A38"/>
    <w:rsid w:val="000F5BB9"/>
    <w:rsid w:val="0014146C"/>
    <w:rsid w:val="00194519"/>
    <w:rsid w:val="001A0146"/>
    <w:rsid w:val="001A7DC8"/>
    <w:rsid w:val="002315C1"/>
    <w:rsid w:val="002B4298"/>
    <w:rsid w:val="002C640C"/>
    <w:rsid w:val="002D7784"/>
    <w:rsid w:val="003224C4"/>
    <w:rsid w:val="0034346B"/>
    <w:rsid w:val="00344E66"/>
    <w:rsid w:val="0036066D"/>
    <w:rsid w:val="00364284"/>
    <w:rsid w:val="003A21A2"/>
    <w:rsid w:val="003C20D4"/>
    <w:rsid w:val="003C4D87"/>
    <w:rsid w:val="00462A54"/>
    <w:rsid w:val="004862CD"/>
    <w:rsid w:val="004C0604"/>
    <w:rsid w:val="004C149E"/>
    <w:rsid w:val="00563E90"/>
    <w:rsid w:val="005C6E57"/>
    <w:rsid w:val="00607528"/>
    <w:rsid w:val="0062082D"/>
    <w:rsid w:val="006867B0"/>
    <w:rsid w:val="006E674A"/>
    <w:rsid w:val="006F7F37"/>
    <w:rsid w:val="00706520"/>
    <w:rsid w:val="0071055C"/>
    <w:rsid w:val="00711D22"/>
    <w:rsid w:val="00736663"/>
    <w:rsid w:val="007417AD"/>
    <w:rsid w:val="00766897"/>
    <w:rsid w:val="0079255E"/>
    <w:rsid w:val="007D7AC4"/>
    <w:rsid w:val="007D7BCC"/>
    <w:rsid w:val="00811AFA"/>
    <w:rsid w:val="0083116F"/>
    <w:rsid w:val="00831FB6"/>
    <w:rsid w:val="008545C3"/>
    <w:rsid w:val="008760CA"/>
    <w:rsid w:val="008D13E2"/>
    <w:rsid w:val="008D37E9"/>
    <w:rsid w:val="008F5F3C"/>
    <w:rsid w:val="00915033"/>
    <w:rsid w:val="00954230"/>
    <w:rsid w:val="00964154"/>
    <w:rsid w:val="009812A4"/>
    <w:rsid w:val="009B6A24"/>
    <w:rsid w:val="00A74C5C"/>
    <w:rsid w:val="00A826F6"/>
    <w:rsid w:val="00A95BE2"/>
    <w:rsid w:val="00AA02F4"/>
    <w:rsid w:val="00B5640D"/>
    <w:rsid w:val="00B56817"/>
    <w:rsid w:val="00BF0347"/>
    <w:rsid w:val="00C2311C"/>
    <w:rsid w:val="00D45870"/>
    <w:rsid w:val="00D647D4"/>
    <w:rsid w:val="00D946D5"/>
    <w:rsid w:val="00DA5D86"/>
    <w:rsid w:val="00DF5705"/>
    <w:rsid w:val="00DF7E87"/>
    <w:rsid w:val="00E23B2B"/>
    <w:rsid w:val="00E45767"/>
    <w:rsid w:val="00E63D5B"/>
    <w:rsid w:val="00E92252"/>
    <w:rsid w:val="00F518EB"/>
    <w:rsid w:val="00F60067"/>
    <w:rsid w:val="00F673EA"/>
    <w:rsid w:val="00FA1115"/>
    <w:rsid w:val="00FA3B90"/>
    <w:rsid w:val="00FE6ACC"/>
    <w:rsid w:val="05B84618"/>
    <w:rsid w:val="6BC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unhideWhenUsed/>
    <w:qFormat/>
    <w:uiPriority w:val="0"/>
    <w:pPr>
      <w:ind w:left="444"/>
      <w:jc w:val="left"/>
      <w:outlineLvl w:val="2"/>
    </w:pPr>
    <w:rPr>
      <w:rFonts w:ascii="宋体" w:hAnsi="宋体" w:eastAsia="宋体"/>
      <w:b/>
      <w:bCs/>
      <w:kern w:val="0"/>
      <w:sz w:val="24"/>
      <w:szCs w:val="24"/>
      <w:lang w:eastAsia="en-US"/>
    </w:rPr>
  </w:style>
  <w:style w:type="paragraph" w:styleId="3">
    <w:name w:val="heading 5"/>
    <w:basedOn w:val="1"/>
    <w:next w:val="1"/>
    <w:link w:val="16"/>
    <w:unhideWhenUsed/>
    <w:qFormat/>
    <w:uiPriority w:val="0"/>
    <w:pPr>
      <w:ind w:left="480"/>
      <w:jc w:val="left"/>
      <w:outlineLvl w:val="4"/>
    </w:pPr>
    <w:rPr>
      <w:rFonts w:ascii="宋体" w:hAnsi="宋体" w:eastAsia="宋体"/>
      <w:b/>
      <w:bCs/>
      <w:kern w:val="0"/>
      <w:szCs w:val="21"/>
      <w:lang w:eastAsia="en-US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qFormat/>
    <w:uiPriority w:val="0"/>
    <w:pPr>
      <w:ind w:left="480"/>
      <w:jc w:val="left"/>
    </w:pPr>
    <w:rPr>
      <w:rFonts w:ascii="宋体" w:hAnsi="宋体" w:eastAsia="宋体"/>
      <w:kern w:val="0"/>
      <w:szCs w:val="21"/>
      <w:lang w:eastAsia="en-US"/>
    </w:rPr>
  </w:style>
  <w:style w:type="paragraph" w:styleId="5">
    <w:name w:val="Date"/>
    <w:basedOn w:val="1"/>
    <w:next w:val="1"/>
    <w:link w:val="14"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2">
    <w:name w:val="页眉 Char"/>
    <w:basedOn w:val="9"/>
    <w:link w:val="7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6"/>
    <w:semiHidden/>
    <w:qFormat/>
    <w:uiPriority w:val="99"/>
    <w:rPr>
      <w:sz w:val="18"/>
      <w:szCs w:val="18"/>
    </w:rPr>
  </w:style>
  <w:style w:type="character" w:customStyle="1" w:styleId="14">
    <w:name w:val="日期 Char"/>
    <w:basedOn w:val="9"/>
    <w:link w:val="5"/>
    <w:semiHidden/>
    <w:uiPriority w:val="99"/>
  </w:style>
  <w:style w:type="character" w:customStyle="1" w:styleId="15">
    <w:name w:val="标题 3 Char"/>
    <w:basedOn w:val="9"/>
    <w:link w:val="2"/>
    <w:uiPriority w:val="0"/>
    <w:rPr>
      <w:rFonts w:ascii="宋体" w:hAnsi="宋体" w:eastAsia="宋体"/>
      <w:b/>
      <w:bCs/>
      <w:kern w:val="0"/>
      <w:sz w:val="24"/>
      <w:szCs w:val="24"/>
      <w:lang w:eastAsia="en-US"/>
    </w:rPr>
  </w:style>
  <w:style w:type="character" w:customStyle="1" w:styleId="16">
    <w:name w:val="标题 5 Char"/>
    <w:basedOn w:val="9"/>
    <w:link w:val="3"/>
    <w:uiPriority w:val="0"/>
    <w:rPr>
      <w:rFonts w:ascii="宋体" w:hAnsi="宋体" w:eastAsia="宋体"/>
      <w:b/>
      <w:bCs/>
      <w:kern w:val="0"/>
      <w:szCs w:val="21"/>
      <w:lang w:eastAsia="en-US"/>
    </w:rPr>
  </w:style>
  <w:style w:type="character" w:customStyle="1" w:styleId="17">
    <w:name w:val="正文文本 Char"/>
    <w:basedOn w:val="9"/>
    <w:link w:val="4"/>
    <w:uiPriority w:val="0"/>
    <w:rPr>
      <w:rFonts w:ascii="宋体" w:hAnsi="宋体" w:eastAsia="宋体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232</Words>
  <Characters>1328</Characters>
  <Lines>11</Lines>
  <Paragraphs>3</Paragraphs>
  <ScaleCrop>false</ScaleCrop>
  <LinksUpToDate>false</LinksUpToDate>
  <CharactersWithSpaces>1557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2017-10-13T00:32:00Z</dcterms:created>
  <dc:creator>Ld</dc:creator>
  <cp:lastModifiedBy>Administrator</cp:lastModifiedBy>
  <dcterms:modified xsi:type="dcterms:W3CDTF">2017-10-17T00:24:22Z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